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10" w:rsidRDefault="00F52A10" w:rsidP="00F52A10">
      <w:pPr>
        <w:pStyle w:val="NormalWeb"/>
        <w:shd w:val="clear" w:color="auto" w:fill="FFFFFF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  <w:t>2013 Yılın</w:t>
      </w:r>
      <w:r w:rsidR="00012CE3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  <w:t>da Uygulanacak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  <w:t xml:space="preserve"> Had ve Tutarlar</w:t>
      </w:r>
    </w:p>
    <w:p w:rsidR="00FC5A30" w:rsidRDefault="00FC5A30" w:rsidP="00FC5A30">
      <w:pPr>
        <w:rPr>
          <w:rFonts w:ascii="Times New Roman" w:hAnsi="Times New Roman"/>
        </w:rPr>
      </w:pPr>
    </w:p>
    <w:p w:rsidR="00F52A10" w:rsidRDefault="00F52A10" w:rsidP="00074450">
      <w:pPr>
        <w:rPr>
          <w:rFonts w:ascii="Times New Roman" w:hAnsi="Times New Roman"/>
        </w:rPr>
      </w:pPr>
      <w:r>
        <w:rPr>
          <w:rFonts w:ascii="Times New Roman" w:hAnsi="Times New Roman"/>
        </w:rPr>
        <w:t>2013 yılına ilişkin aşağıdaki had ve tutarlarda değişikliğe gidilmiştir:</w:t>
      </w:r>
    </w:p>
    <w:p w:rsidR="00F52A10" w:rsidRDefault="00F52A10" w:rsidP="00074450">
      <w:pPr>
        <w:rPr>
          <w:rFonts w:ascii="Times New Roman" w:hAnsi="Times New Roman"/>
        </w:rPr>
      </w:pPr>
    </w:p>
    <w:p w:rsidR="00DD2783" w:rsidRDefault="00DD2783" w:rsidP="003534E7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Gelir Vergisi:</w:t>
      </w:r>
    </w:p>
    <w:p w:rsidR="00DD2783" w:rsidRPr="00DD2783" w:rsidRDefault="00DD2783" w:rsidP="00DD278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Gelir Vergisi dilimleri 2013 yılına ilişkin aşağıdaki şekilde değiştirilmiştir:</w:t>
      </w:r>
    </w:p>
    <w:tbl>
      <w:tblPr>
        <w:tblStyle w:val="TableGrid"/>
        <w:tblW w:w="0" w:type="auto"/>
        <w:tblInd w:w="503" w:type="dxa"/>
        <w:tblLook w:val="04A0" w:firstRow="1" w:lastRow="0" w:firstColumn="1" w:lastColumn="0" w:noHBand="0" w:noVBand="1"/>
      </w:tblPr>
      <w:tblGrid>
        <w:gridCol w:w="5778"/>
        <w:gridCol w:w="851"/>
      </w:tblGrid>
      <w:tr w:rsidR="00DD2783" w:rsidTr="004C1075">
        <w:tc>
          <w:tcPr>
            <w:tcW w:w="5778" w:type="dxa"/>
          </w:tcPr>
          <w:p w:rsidR="00DD2783" w:rsidRPr="00DD2783" w:rsidRDefault="00DD2783" w:rsidP="003534E7">
            <w:pPr>
              <w:jc w:val="both"/>
              <w:rPr>
                <w:rFonts w:ascii="Times New Roman" w:hAnsi="Times New Roman"/>
                <w:b/>
              </w:rPr>
            </w:pPr>
            <w:r w:rsidRPr="00DD2783">
              <w:rPr>
                <w:rFonts w:ascii="Times New Roman" w:hAnsi="Times New Roman"/>
                <w:b/>
              </w:rPr>
              <w:t>Dilim</w:t>
            </w:r>
          </w:p>
        </w:tc>
        <w:tc>
          <w:tcPr>
            <w:tcW w:w="851" w:type="dxa"/>
          </w:tcPr>
          <w:p w:rsidR="00DD2783" w:rsidRPr="00DD2783" w:rsidRDefault="00DD2783" w:rsidP="00DD2783">
            <w:pPr>
              <w:jc w:val="center"/>
              <w:rPr>
                <w:rFonts w:ascii="Times New Roman" w:hAnsi="Times New Roman"/>
                <w:b/>
              </w:rPr>
            </w:pPr>
            <w:r w:rsidRPr="00DD2783">
              <w:rPr>
                <w:rFonts w:ascii="Times New Roman" w:hAnsi="Times New Roman"/>
                <w:b/>
              </w:rPr>
              <w:t>Oran</w:t>
            </w:r>
          </w:p>
        </w:tc>
      </w:tr>
      <w:tr w:rsidR="00DD2783" w:rsidTr="004C1075">
        <w:tc>
          <w:tcPr>
            <w:tcW w:w="5778" w:type="dxa"/>
          </w:tcPr>
          <w:p w:rsidR="00DD2783" w:rsidRDefault="00DD2783" w:rsidP="00353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10.700 TL’ye kadar</w:t>
            </w:r>
          </w:p>
        </w:tc>
        <w:tc>
          <w:tcPr>
            <w:tcW w:w="851" w:type="dxa"/>
          </w:tcPr>
          <w:p w:rsidR="00DD2783" w:rsidRDefault="00DD2783" w:rsidP="00DD2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%15</w:t>
            </w:r>
          </w:p>
        </w:tc>
      </w:tr>
      <w:tr w:rsidR="00DD2783" w:rsidTr="004C1075">
        <w:tc>
          <w:tcPr>
            <w:tcW w:w="5778" w:type="dxa"/>
          </w:tcPr>
          <w:p w:rsidR="00DD2783" w:rsidRDefault="00DD2783" w:rsidP="003534E7">
            <w:pPr>
              <w:jc w:val="both"/>
              <w:rPr>
                <w:rFonts w:ascii="Times New Roman" w:hAnsi="Times New Roman"/>
              </w:rPr>
            </w:pPr>
            <w:r w:rsidRPr="00DD2783">
              <w:rPr>
                <w:rFonts w:ascii="Times New Roman" w:hAnsi="Times New Roman"/>
              </w:rPr>
              <w:t>26.000 TL'nin 10.700 TL'si için 1.605 TL, fazlası</w:t>
            </w:r>
          </w:p>
        </w:tc>
        <w:tc>
          <w:tcPr>
            <w:tcW w:w="851" w:type="dxa"/>
          </w:tcPr>
          <w:p w:rsidR="00DD2783" w:rsidRDefault="00DD2783" w:rsidP="00DD2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%20</w:t>
            </w:r>
          </w:p>
        </w:tc>
      </w:tr>
      <w:tr w:rsidR="00DD2783" w:rsidTr="004C1075">
        <w:tc>
          <w:tcPr>
            <w:tcW w:w="5778" w:type="dxa"/>
          </w:tcPr>
          <w:p w:rsidR="00DD2783" w:rsidRDefault="00DD2783" w:rsidP="00DD2783">
            <w:pPr>
              <w:jc w:val="both"/>
              <w:rPr>
                <w:rFonts w:ascii="Times New Roman" w:hAnsi="Times New Roman"/>
              </w:rPr>
            </w:pPr>
            <w:r w:rsidRPr="00DD2783">
              <w:rPr>
                <w:rFonts w:ascii="Times New Roman" w:hAnsi="Times New Roman"/>
              </w:rPr>
              <w:t>60.000 TL'nin 26.000 TL'si için 4.665 TL (ücret gelirlerinde 94.000 TL'nin</w:t>
            </w:r>
            <w:r>
              <w:rPr>
                <w:rFonts w:ascii="Times New Roman" w:hAnsi="Times New Roman"/>
              </w:rPr>
              <w:t xml:space="preserve"> </w:t>
            </w:r>
            <w:r w:rsidRPr="00DD2783">
              <w:rPr>
                <w:rFonts w:ascii="Times New Roman" w:hAnsi="Times New Roman"/>
              </w:rPr>
              <w:t>26.000 TL'si için 4.665 TL), fazlası</w:t>
            </w:r>
          </w:p>
        </w:tc>
        <w:tc>
          <w:tcPr>
            <w:tcW w:w="851" w:type="dxa"/>
            <w:vAlign w:val="center"/>
          </w:tcPr>
          <w:p w:rsidR="00DD2783" w:rsidRDefault="00DD2783" w:rsidP="004C10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%27</w:t>
            </w:r>
          </w:p>
        </w:tc>
      </w:tr>
      <w:tr w:rsidR="00DD2783" w:rsidTr="004C1075">
        <w:tc>
          <w:tcPr>
            <w:tcW w:w="5778" w:type="dxa"/>
          </w:tcPr>
          <w:p w:rsidR="00DD2783" w:rsidRDefault="004C1075" w:rsidP="004C1075">
            <w:pPr>
              <w:jc w:val="both"/>
              <w:rPr>
                <w:rFonts w:ascii="Times New Roman" w:hAnsi="Times New Roman"/>
              </w:rPr>
            </w:pPr>
            <w:r w:rsidRPr="004C1075">
              <w:rPr>
                <w:rFonts w:ascii="Times New Roman" w:hAnsi="Times New Roman"/>
              </w:rPr>
              <w:t>60.000 TL'den fazlasının 60.000 TL'si için 13.845 TL (ücret gelirlerinde</w:t>
            </w:r>
            <w:r>
              <w:rPr>
                <w:rFonts w:ascii="Times New Roman" w:hAnsi="Times New Roman"/>
              </w:rPr>
              <w:t xml:space="preserve"> </w:t>
            </w:r>
            <w:r w:rsidRPr="004C1075">
              <w:rPr>
                <w:rFonts w:ascii="Times New Roman" w:hAnsi="Times New Roman"/>
              </w:rPr>
              <w:t>94.000 TL'den fazlasının 94.000 TL'si için 23.025 TL), fazlası</w:t>
            </w:r>
          </w:p>
        </w:tc>
        <w:tc>
          <w:tcPr>
            <w:tcW w:w="851" w:type="dxa"/>
            <w:vAlign w:val="center"/>
          </w:tcPr>
          <w:p w:rsidR="00DD2783" w:rsidRDefault="00DD2783" w:rsidP="004C10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%35</w:t>
            </w:r>
          </w:p>
        </w:tc>
      </w:tr>
    </w:tbl>
    <w:p w:rsidR="00DD2783" w:rsidRDefault="00DD2783" w:rsidP="004C1075">
      <w:pPr>
        <w:pStyle w:val="ListParagraph"/>
        <w:jc w:val="both"/>
        <w:rPr>
          <w:rFonts w:ascii="Times New Roman" w:hAnsi="Times New Roman"/>
        </w:rPr>
      </w:pPr>
    </w:p>
    <w:p w:rsidR="004C1075" w:rsidRDefault="004C1075" w:rsidP="004C107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4C1075">
        <w:rPr>
          <w:rFonts w:ascii="Times New Roman" w:hAnsi="Times New Roman"/>
        </w:rPr>
        <w:t>Gayrimenkul sermaye iratlarında uygulanan istisna tutarı</w:t>
      </w:r>
      <w:r>
        <w:rPr>
          <w:rFonts w:ascii="Times New Roman" w:hAnsi="Times New Roman"/>
        </w:rPr>
        <w:t>: 3.200 TL</w:t>
      </w:r>
    </w:p>
    <w:p w:rsidR="004C1075" w:rsidRDefault="004C1075" w:rsidP="004C107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</w:t>
      </w:r>
      <w:r w:rsidRPr="004C1075">
        <w:rPr>
          <w:rFonts w:ascii="Times New Roman" w:hAnsi="Times New Roman"/>
        </w:rPr>
        <w:t>şverenlerce işyeri veya işyerinin müştemilatı dışında kalan yerlerde hizmet erbabına yemek verilmek suretiyle sağlanan menfaatlere ilişkin istisna tutarı</w:t>
      </w:r>
      <w:r>
        <w:rPr>
          <w:rFonts w:ascii="Times New Roman" w:hAnsi="Times New Roman"/>
        </w:rPr>
        <w:t>:</w:t>
      </w:r>
      <w:r w:rsidRPr="004C1075">
        <w:rPr>
          <w:rFonts w:ascii="Times New Roman" w:hAnsi="Times New Roman"/>
        </w:rPr>
        <w:t xml:space="preserve"> 12.00 TL</w:t>
      </w:r>
    </w:p>
    <w:p w:rsidR="004C1075" w:rsidRDefault="004C1075" w:rsidP="004C107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Sakatlık indirimi tutarları</w:t>
      </w:r>
    </w:p>
    <w:p w:rsidR="004C1075" w:rsidRDefault="004C1075" w:rsidP="004C1075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4C1075">
        <w:rPr>
          <w:rFonts w:ascii="Times New Roman" w:hAnsi="Times New Roman"/>
        </w:rPr>
        <w:t xml:space="preserve">irinci derece sakatlar için 800 TL, </w:t>
      </w:r>
    </w:p>
    <w:p w:rsidR="004C1075" w:rsidRDefault="004C1075" w:rsidP="004C1075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</w:t>
      </w:r>
      <w:r w:rsidRPr="004C1075">
        <w:rPr>
          <w:rFonts w:ascii="Times New Roman" w:hAnsi="Times New Roman"/>
        </w:rPr>
        <w:t xml:space="preserve">kinci derece sakatlar için 400 TL, </w:t>
      </w:r>
    </w:p>
    <w:p w:rsidR="004C1075" w:rsidRDefault="004C1075" w:rsidP="004C1075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Ü</w:t>
      </w:r>
      <w:r w:rsidRPr="004C1075">
        <w:rPr>
          <w:rFonts w:ascii="Times New Roman" w:hAnsi="Times New Roman"/>
        </w:rPr>
        <w:t xml:space="preserve">çüncü derece sakatlar için </w:t>
      </w:r>
      <w:r>
        <w:rPr>
          <w:rFonts w:ascii="Times New Roman" w:hAnsi="Times New Roman"/>
        </w:rPr>
        <w:t>190 TL</w:t>
      </w:r>
    </w:p>
    <w:p w:rsidR="004C1075" w:rsidRDefault="004C1075" w:rsidP="004C107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C1075">
        <w:rPr>
          <w:rFonts w:ascii="Times New Roman" w:hAnsi="Times New Roman"/>
        </w:rPr>
        <w:t>eğer art</w:t>
      </w:r>
      <w:r>
        <w:rPr>
          <w:rFonts w:ascii="Times New Roman" w:hAnsi="Times New Roman"/>
        </w:rPr>
        <w:t>ışı kazançlarına ilişkin istisna: 9.400 TL</w:t>
      </w:r>
    </w:p>
    <w:p w:rsidR="00DD2783" w:rsidRPr="004C1075" w:rsidRDefault="004C1075" w:rsidP="003534E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4C1075">
        <w:rPr>
          <w:rFonts w:ascii="Times New Roman" w:hAnsi="Times New Roman"/>
        </w:rPr>
        <w:t>Arızi kazançlara ilişkin istisna tutarı: 21.000 TL</w:t>
      </w:r>
    </w:p>
    <w:p w:rsidR="00DD2783" w:rsidRPr="00DD2783" w:rsidRDefault="00DD2783" w:rsidP="003534E7">
      <w:pPr>
        <w:jc w:val="both"/>
        <w:rPr>
          <w:rFonts w:ascii="Times New Roman" w:hAnsi="Times New Roman"/>
        </w:rPr>
      </w:pPr>
    </w:p>
    <w:p w:rsidR="004C1075" w:rsidRDefault="004C1075" w:rsidP="004C1075">
      <w:pPr>
        <w:rPr>
          <w:rFonts w:ascii="Times New Roman" w:hAnsi="Times New Roman"/>
          <w:i/>
        </w:rPr>
      </w:pPr>
      <w:r w:rsidRPr="004C1075">
        <w:rPr>
          <w:rFonts w:ascii="Times New Roman" w:hAnsi="Times New Roman"/>
          <w:i/>
        </w:rPr>
        <w:t>Motorlu Taşıtlar Vergisi:</w:t>
      </w:r>
    </w:p>
    <w:p w:rsidR="004C1075" w:rsidRDefault="004C1075" w:rsidP="004C1075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Motorlu Taşıtlar Vergisi tarifesi yeniden değerleme oranı i</w:t>
      </w:r>
      <w:r w:rsidR="000420E7">
        <w:rPr>
          <w:rFonts w:ascii="Times New Roman" w:hAnsi="Times New Roman"/>
        </w:rPr>
        <w:t>le artırılmıştır.</w:t>
      </w:r>
    </w:p>
    <w:p w:rsidR="004C1075" w:rsidRDefault="004C1075" w:rsidP="004C1075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Yeni oranlara aşağıdaki linkten ulaşabilirsiniz:</w:t>
      </w:r>
    </w:p>
    <w:p w:rsidR="004C1075" w:rsidRDefault="004C1075" w:rsidP="004C1075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hyperlink r:id="rId6" w:history="1">
        <w:r w:rsidRPr="002C3FBA">
          <w:rPr>
            <w:rStyle w:val="Hyperlink"/>
            <w:rFonts w:ascii="Times New Roman" w:hAnsi="Times New Roman"/>
          </w:rPr>
          <w:t>http://www.gib.gov.tr/index.php?id=1079&amp;uid=oJfD3kT9hLOBQ5wp&amp;type=teblig</w:t>
        </w:r>
      </w:hyperlink>
    </w:p>
    <w:p w:rsidR="004C1075" w:rsidRDefault="004C1075" w:rsidP="003534E7">
      <w:pPr>
        <w:jc w:val="both"/>
        <w:rPr>
          <w:rFonts w:ascii="Times New Roman" w:hAnsi="Times New Roman"/>
        </w:rPr>
      </w:pPr>
    </w:p>
    <w:p w:rsidR="004C1075" w:rsidRDefault="004C1075" w:rsidP="003534E7">
      <w:pPr>
        <w:jc w:val="both"/>
        <w:rPr>
          <w:rFonts w:ascii="Times New Roman" w:hAnsi="Times New Roman"/>
        </w:rPr>
      </w:pPr>
    </w:p>
    <w:p w:rsidR="00F52A10" w:rsidRPr="00F52A10" w:rsidRDefault="00F52A10" w:rsidP="003534E7">
      <w:pPr>
        <w:jc w:val="both"/>
        <w:rPr>
          <w:rFonts w:ascii="Times New Roman" w:hAnsi="Times New Roman"/>
          <w:i/>
        </w:rPr>
      </w:pPr>
      <w:r w:rsidRPr="00F52A10">
        <w:rPr>
          <w:rFonts w:ascii="Times New Roman" w:hAnsi="Times New Roman"/>
          <w:i/>
        </w:rPr>
        <w:t>Harçlar:</w:t>
      </w:r>
    </w:p>
    <w:p w:rsidR="00F52A10" w:rsidRDefault="003534E7" w:rsidP="003534E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Pr="003534E7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Pr="003534E7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3534E7">
        <w:rPr>
          <w:rFonts w:ascii="Times New Roman" w:hAnsi="Times New Roman"/>
        </w:rPr>
        <w:t xml:space="preserve">2013 tarihinden itibaren yürürlüğe girmek üzere 2012 yılında uygulanan maktu ve nispi harçlar ( (4) sayılı tarifenin "I-Tapu İşlemleri" başlıklı bölümünün 20 numaralı fıkrasında sayılan tapu işlemleri hariç olmak üzere) </w:t>
      </w:r>
      <w:r>
        <w:rPr>
          <w:rFonts w:ascii="Times New Roman" w:hAnsi="Times New Roman"/>
        </w:rPr>
        <w:t xml:space="preserve">%7,80 </w:t>
      </w:r>
      <w:r w:rsidRPr="003534E7">
        <w:rPr>
          <w:rFonts w:ascii="Times New Roman" w:hAnsi="Times New Roman"/>
        </w:rPr>
        <w:t xml:space="preserve">yeniden değerleme oranı </w:t>
      </w:r>
      <w:proofErr w:type="gramStart"/>
      <w:r w:rsidRPr="003534E7">
        <w:rPr>
          <w:rFonts w:ascii="Times New Roman" w:hAnsi="Times New Roman"/>
        </w:rPr>
        <w:t>dahil</w:t>
      </w:r>
      <w:proofErr w:type="gramEnd"/>
      <w:r w:rsidRPr="003534E7">
        <w:rPr>
          <w:rFonts w:ascii="Times New Roman" w:hAnsi="Times New Roman"/>
        </w:rPr>
        <w:t xml:space="preserve"> olmak üzere (maktu ve nispî harçların asgarî ve azami miktarlarını belirleyen hadler dahil), %15 oranında artırılmıştır</w:t>
      </w:r>
      <w:r>
        <w:rPr>
          <w:rFonts w:ascii="Times New Roman" w:hAnsi="Times New Roman"/>
        </w:rPr>
        <w:t xml:space="preserve">. </w:t>
      </w:r>
    </w:p>
    <w:p w:rsidR="003534E7" w:rsidRDefault="003534E7" w:rsidP="003534E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Yeni harç oranlarını görmek için aşağıdaki linki kullanabilirsiniz:</w:t>
      </w:r>
    </w:p>
    <w:p w:rsidR="003534E7" w:rsidRDefault="003534E7" w:rsidP="003534E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hyperlink r:id="rId7" w:history="1">
        <w:r w:rsidRPr="002C3FBA">
          <w:rPr>
            <w:rStyle w:val="Hyperlink"/>
            <w:rFonts w:ascii="Times New Roman" w:hAnsi="Times New Roman"/>
          </w:rPr>
          <w:t>http://www.gib.gov.tr/fileadmin/user_uploa</w:t>
        </w:r>
        <w:r w:rsidRPr="002C3FBA">
          <w:rPr>
            <w:rStyle w:val="Hyperlink"/>
            <w:rFonts w:ascii="Times New Roman" w:hAnsi="Times New Roman"/>
          </w:rPr>
          <w:t>d</w:t>
        </w:r>
        <w:r w:rsidRPr="002C3FBA">
          <w:rPr>
            <w:rStyle w:val="Hyperlink"/>
            <w:rFonts w:ascii="Times New Roman" w:hAnsi="Times New Roman"/>
          </w:rPr>
          <w:t>/Tebligler/Harclar_Kanunu/69_serno_harclar_genteb_ek.htm</w:t>
        </w:r>
      </w:hyperlink>
    </w:p>
    <w:p w:rsidR="003534E7" w:rsidRDefault="003534E7" w:rsidP="003534E7">
      <w:pPr>
        <w:pStyle w:val="ListParagraph"/>
        <w:jc w:val="both"/>
        <w:rPr>
          <w:rFonts w:ascii="Times New Roman" w:hAnsi="Times New Roman"/>
        </w:rPr>
      </w:pPr>
    </w:p>
    <w:p w:rsidR="003534E7" w:rsidRPr="00DD2783" w:rsidRDefault="003534E7" w:rsidP="003534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SGK Tavan ve Taban Ücretler</w:t>
      </w:r>
      <w:r w:rsidRPr="00F52A10">
        <w:rPr>
          <w:rFonts w:ascii="Times New Roman" w:hAnsi="Times New Roman"/>
          <w:i/>
        </w:rPr>
        <w:t>:</w:t>
      </w:r>
    </w:p>
    <w:p w:rsidR="003534E7" w:rsidRPr="00F52A10" w:rsidRDefault="003534E7" w:rsidP="003534E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SGK tavan ve taban ücretler aşağıdaki şekilde artırılmışlardır:</w:t>
      </w:r>
    </w:p>
    <w:tbl>
      <w:tblPr>
        <w:tblpPr w:leftFromText="141" w:rightFromText="141" w:vertAnchor="text" w:horzAnchor="page" w:tblpX="2023" w:tblpY="12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126"/>
        <w:gridCol w:w="1843"/>
      </w:tblGrid>
      <w:tr w:rsidR="003534E7" w:rsidRPr="003534E7" w:rsidTr="003534E7">
        <w:trPr>
          <w:trHeight w:val="7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Dönem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Taban Ücreti TL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Tavan Ücret TL</w:t>
            </w:r>
          </w:p>
        </w:tc>
      </w:tr>
      <w:tr w:rsidR="003534E7" w:rsidRPr="003534E7" w:rsidTr="003534E7">
        <w:trPr>
          <w:trHeight w:val="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color w:val="000000"/>
                <w:lang w:eastAsia="tr-TR"/>
              </w:rPr>
              <w:t>01.01.2013 – 30.06.2013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jc w:val="right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color w:val="000000"/>
                <w:lang w:eastAsia="tr-TR"/>
              </w:rPr>
              <w:t>978,60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jc w:val="right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color w:val="000000"/>
                <w:lang w:eastAsia="tr-TR"/>
              </w:rPr>
              <w:t>6.360,90</w:t>
            </w:r>
          </w:p>
        </w:tc>
      </w:tr>
      <w:tr w:rsidR="003534E7" w:rsidRPr="003534E7" w:rsidTr="003534E7">
        <w:trPr>
          <w:trHeight w:val="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color w:val="000000"/>
                <w:lang w:eastAsia="tr-TR"/>
              </w:rPr>
              <w:t>01.07.2013 – 31.12.2013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jc w:val="right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color w:val="000000"/>
                <w:lang w:eastAsia="tr-TR"/>
              </w:rPr>
              <w:t>1021,50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E7" w:rsidRPr="003534E7" w:rsidRDefault="003534E7" w:rsidP="003534E7">
            <w:pPr>
              <w:spacing w:before="100" w:beforeAutospacing="1" w:after="100" w:afterAutospacing="1" w:line="70" w:lineRule="atLeast"/>
              <w:jc w:val="right"/>
              <w:rPr>
                <w:rFonts w:ascii="Times New Roman" w:eastAsia="Times New Roman" w:hAnsi="Times New Roman"/>
                <w:lang w:eastAsia="tr-TR"/>
              </w:rPr>
            </w:pPr>
            <w:r w:rsidRPr="003534E7">
              <w:rPr>
                <w:rFonts w:ascii="Times New Roman" w:eastAsia="Times New Roman" w:hAnsi="Times New Roman"/>
                <w:color w:val="000000"/>
                <w:lang w:eastAsia="tr-TR"/>
              </w:rPr>
              <w:t>6.639,90</w:t>
            </w:r>
          </w:p>
        </w:tc>
      </w:tr>
    </w:tbl>
    <w:p w:rsidR="00074450" w:rsidRDefault="00074450">
      <w:pPr>
        <w:rPr>
          <w:rFonts w:ascii="Times New Roman" w:hAnsi="Times New Roman"/>
        </w:rPr>
      </w:pPr>
    </w:p>
    <w:p w:rsidR="004C1075" w:rsidRDefault="004C1075">
      <w:pPr>
        <w:rPr>
          <w:rFonts w:ascii="Times New Roman" w:hAnsi="Times New Roman"/>
        </w:rPr>
      </w:pPr>
    </w:p>
    <w:p w:rsidR="004C1075" w:rsidRDefault="004C1075">
      <w:pPr>
        <w:rPr>
          <w:rFonts w:ascii="Times New Roman" w:hAnsi="Times New Roman"/>
        </w:rPr>
      </w:pPr>
    </w:p>
    <w:p w:rsidR="004C1075" w:rsidRDefault="004C1075">
      <w:pPr>
        <w:rPr>
          <w:rFonts w:ascii="Times New Roman" w:hAnsi="Times New Roman"/>
        </w:rPr>
      </w:pPr>
    </w:p>
    <w:p w:rsidR="000420E7" w:rsidRDefault="000420E7">
      <w:pPr>
        <w:rPr>
          <w:rFonts w:ascii="Times New Roman" w:hAnsi="Times New Roman"/>
        </w:rPr>
      </w:pPr>
    </w:p>
    <w:p w:rsidR="000420E7" w:rsidRDefault="00022DDB" w:rsidP="00022DD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Brüt asgari ücret tutarları aşağıdaki şekilde artırılmıştır:</w:t>
      </w:r>
    </w:p>
    <w:p w:rsidR="00022DDB" w:rsidRDefault="00022DDB" w:rsidP="00022DDB">
      <w:pPr>
        <w:ind w:left="360"/>
        <w:rPr>
          <w:rFonts w:ascii="Times New Roman" w:hAnsi="Times New Roman"/>
        </w:rPr>
      </w:pPr>
    </w:p>
    <w:tbl>
      <w:tblPr>
        <w:tblStyle w:val="TableGrid"/>
        <w:tblW w:w="9056" w:type="dxa"/>
        <w:tblInd w:w="360" w:type="dxa"/>
        <w:tblLook w:val="04A0" w:firstRow="1" w:lastRow="0" w:firstColumn="1" w:lastColumn="0" w:noHBand="0" w:noVBand="1"/>
      </w:tblPr>
      <w:tblGrid>
        <w:gridCol w:w="2250"/>
        <w:gridCol w:w="3168"/>
        <w:gridCol w:w="1985"/>
        <w:gridCol w:w="1653"/>
      </w:tblGrid>
      <w:tr w:rsidR="00022DDB" w:rsidTr="00022DDB">
        <w:tc>
          <w:tcPr>
            <w:tcW w:w="2250" w:type="dxa"/>
          </w:tcPr>
          <w:p w:rsidR="00022DDB" w:rsidRPr="00022DDB" w:rsidRDefault="00022DDB" w:rsidP="00022DDB">
            <w:pPr>
              <w:rPr>
                <w:rFonts w:ascii="Times New Roman" w:hAnsi="Times New Roman"/>
                <w:b/>
              </w:rPr>
            </w:pPr>
            <w:r w:rsidRPr="00022DDB">
              <w:rPr>
                <w:rFonts w:ascii="Times New Roman" w:hAnsi="Times New Roman"/>
                <w:b/>
              </w:rPr>
              <w:t>Dönem</w:t>
            </w:r>
          </w:p>
        </w:tc>
        <w:tc>
          <w:tcPr>
            <w:tcW w:w="3168" w:type="dxa"/>
          </w:tcPr>
          <w:p w:rsidR="00022DDB" w:rsidRDefault="00022DDB" w:rsidP="00022DD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34E7" w:rsidRPr="003534E7" w:rsidRDefault="00022DDB" w:rsidP="00022DDB">
            <w:pPr>
              <w:spacing w:before="100" w:beforeAutospacing="1" w:after="100" w:afterAutospacing="1" w:line="70" w:lineRule="atLeast"/>
              <w:jc w:val="both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Brüt Günlük</w:t>
            </w:r>
            <w:r w:rsidRPr="003534E7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653" w:type="dxa"/>
          </w:tcPr>
          <w:p w:rsidR="003534E7" w:rsidRPr="003534E7" w:rsidRDefault="00022DDB" w:rsidP="00022DDB">
            <w:pPr>
              <w:spacing w:before="100" w:beforeAutospacing="1" w:after="100" w:afterAutospacing="1" w:line="70" w:lineRule="atLeast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022DDB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Brüt Aylık </w:t>
            </w:r>
            <w:r w:rsidRPr="003534E7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TL</w:t>
            </w:r>
          </w:p>
        </w:tc>
      </w:tr>
      <w:tr w:rsidR="00022DDB" w:rsidTr="00022DDB">
        <w:tc>
          <w:tcPr>
            <w:tcW w:w="2250" w:type="dxa"/>
            <w:vMerge w:val="restart"/>
            <w:vAlign w:val="center"/>
          </w:tcPr>
          <w:p w:rsidR="00022DDB" w:rsidRDefault="00022DDB" w:rsidP="00022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01.01.2013 – 30.06.2013</w:t>
            </w:r>
          </w:p>
        </w:tc>
        <w:tc>
          <w:tcPr>
            <w:tcW w:w="3168" w:type="dxa"/>
          </w:tcPr>
          <w:p w:rsidR="00022DDB" w:rsidRDefault="00022DDB" w:rsidP="00022DDB">
            <w:pPr>
              <w:rPr>
                <w:rFonts w:ascii="Times New Roman" w:hAnsi="Times New Roman"/>
              </w:rPr>
            </w:pPr>
            <w:proofErr w:type="spellStart"/>
            <w:r w:rsidRPr="00022DDB">
              <w:rPr>
                <w:rFonts w:ascii="Times New Roman" w:eastAsia="Times New Roman" w:hAnsi="Times New Roman"/>
                <w:color w:val="000000"/>
                <w:lang w:eastAsia="tr-TR"/>
              </w:rPr>
              <w:t>Onal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tı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yaşını doldurmuş işçiler</w:t>
            </w:r>
          </w:p>
        </w:tc>
        <w:tc>
          <w:tcPr>
            <w:tcW w:w="1985" w:type="dxa"/>
          </w:tcPr>
          <w:p w:rsidR="00022DDB" w:rsidRDefault="00022DDB" w:rsidP="00022D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32,62</w:t>
            </w:r>
          </w:p>
        </w:tc>
        <w:tc>
          <w:tcPr>
            <w:tcW w:w="1653" w:type="dxa"/>
          </w:tcPr>
          <w:p w:rsidR="00022DDB" w:rsidRDefault="00022DDB" w:rsidP="00022D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978,60</w:t>
            </w:r>
          </w:p>
        </w:tc>
      </w:tr>
      <w:tr w:rsidR="00022DDB" w:rsidTr="00022DDB">
        <w:tc>
          <w:tcPr>
            <w:tcW w:w="2250" w:type="dxa"/>
            <w:vMerge/>
          </w:tcPr>
          <w:p w:rsidR="00022DDB" w:rsidRDefault="00022DDB" w:rsidP="00022DDB">
            <w:pPr>
              <w:rPr>
                <w:rFonts w:ascii="Times New Roman" w:hAnsi="Times New Roman"/>
              </w:rPr>
            </w:pPr>
          </w:p>
        </w:tc>
        <w:tc>
          <w:tcPr>
            <w:tcW w:w="3168" w:type="dxa"/>
          </w:tcPr>
          <w:p w:rsidR="00022DDB" w:rsidRDefault="00022DDB" w:rsidP="00022DDB">
            <w:pPr>
              <w:rPr>
                <w:rFonts w:ascii="Times New Roman" w:hAnsi="Times New Roman"/>
              </w:rPr>
            </w:pPr>
            <w:proofErr w:type="spellStart"/>
            <w:r w:rsidRPr="00022DDB">
              <w:rPr>
                <w:rFonts w:ascii="Times New Roman" w:eastAsia="Times New Roman" w:hAnsi="Times New Roman"/>
                <w:color w:val="000000"/>
                <w:lang w:eastAsia="tr-TR"/>
              </w:rPr>
              <w:t>Onal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tı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yaşını doldur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ş işçiler</w:t>
            </w:r>
          </w:p>
        </w:tc>
        <w:tc>
          <w:tcPr>
            <w:tcW w:w="1985" w:type="dxa"/>
          </w:tcPr>
          <w:p w:rsidR="00022DDB" w:rsidRDefault="00022DDB" w:rsidP="00022D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27,97</w:t>
            </w:r>
          </w:p>
        </w:tc>
        <w:tc>
          <w:tcPr>
            <w:tcW w:w="1653" w:type="dxa"/>
          </w:tcPr>
          <w:p w:rsidR="00022DDB" w:rsidRDefault="00022DDB" w:rsidP="00022D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839,10</w:t>
            </w:r>
          </w:p>
        </w:tc>
      </w:tr>
      <w:tr w:rsidR="00022DDB" w:rsidTr="00022DDB">
        <w:tc>
          <w:tcPr>
            <w:tcW w:w="2250" w:type="dxa"/>
            <w:vMerge w:val="restart"/>
            <w:vAlign w:val="center"/>
          </w:tcPr>
          <w:p w:rsidR="00022DDB" w:rsidRDefault="00022DDB" w:rsidP="00022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01.07.2013 – 31.12.2013</w:t>
            </w:r>
          </w:p>
        </w:tc>
        <w:tc>
          <w:tcPr>
            <w:tcW w:w="3168" w:type="dxa"/>
          </w:tcPr>
          <w:p w:rsidR="00022DDB" w:rsidRDefault="00022DDB" w:rsidP="00022DDB">
            <w:pPr>
              <w:rPr>
                <w:rFonts w:ascii="Times New Roman" w:hAnsi="Times New Roman"/>
              </w:rPr>
            </w:pPr>
            <w:proofErr w:type="spellStart"/>
            <w:r w:rsidRPr="00022DDB">
              <w:rPr>
                <w:rFonts w:ascii="Times New Roman" w:eastAsia="Times New Roman" w:hAnsi="Times New Roman"/>
                <w:color w:val="000000"/>
                <w:lang w:eastAsia="tr-TR"/>
              </w:rPr>
              <w:t>Onal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tı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yaşını doldurmuş işçiler</w:t>
            </w:r>
          </w:p>
        </w:tc>
        <w:tc>
          <w:tcPr>
            <w:tcW w:w="1985" w:type="dxa"/>
          </w:tcPr>
          <w:p w:rsidR="00022DDB" w:rsidRDefault="00022DDB" w:rsidP="00022D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34,05</w:t>
            </w:r>
          </w:p>
        </w:tc>
        <w:tc>
          <w:tcPr>
            <w:tcW w:w="1653" w:type="dxa"/>
          </w:tcPr>
          <w:p w:rsidR="00022DDB" w:rsidRDefault="00022DDB" w:rsidP="00022D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1.021,50</w:t>
            </w:r>
          </w:p>
        </w:tc>
      </w:tr>
      <w:tr w:rsidR="00022DDB" w:rsidTr="00022DDB">
        <w:tc>
          <w:tcPr>
            <w:tcW w:w="2250" w:type="dxa"/>
            <w:vMerge/>
          </w:tcPr>
          <w:p w:rsidR="00022DDB" w:rsidRDefault="00022DDB" w:rsidP="00022DDB">
            <w:pPr>
              <w:rPr>
                <w:rFonts w:ascii="Times New Roman" w:hAnsi="Times New Roman"/>
              </w:rPr>
            </w:pPr>
          </w:p>
        </w:tc>
        <w:tc>
          <w:tcPr>
            <w:tcW w:w="3168" w:type="dxa"/>
          </w:tcPr>
          <w:p w:rsidR="00022DDB" w:rsidRDefault="00022DDB" w:rsidP="00022DDB">
            <w:pPr>
              <w:rPr>
                <w:rFonts w:ascii="Times New Roman" w:hAnsi="Times New Roman"/>
              </w:rPr>
            </w:pPr>
            <w:proofErr w:type="spellStart"/>
            <w:r w:rsidRPr="00022DDB">
              <w:rPr>
                <w:rFonts w:ascii="Times New Roman" w:eastAsia="Times New Roman" w:hAnsi="Times New Roman"/>
                <w:color w:val="000000"/>
                <w:lang w:eastAsia="tr-TR"/>
              </w:rPr>
              <w:t>Onal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tı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yaşını doldur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ş işçiler</w:t>
            </w:r>
          </w:p>
        </w:tc>
        <w:tc>
          <w:tcPr>
            <w:tcW w:w="1985" w:type="dxa"/>
          </w:tcPr>
          <w:p w:rsidR="00022DDB" w:rsidRDefault="00022DDB" w:rsidP="00022D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29,25</w:t>
            </w:r>
          </w:p>
        </w:tc>
        <w:tc>
          <w:tcPr>
            <w:tcW w:w="1653" w:type="dxa"/>
          </w:tcPr>
          <w:p w:rsidR="00022DDB" w:rsidRDefault="00022DDB" w:rsidP="00022D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877,50</w:t>
            </w:r>
          </w:p>
        </w:tc>
      </w:tr>
    </w:tbl>
    <w:p w:rsidR="00626FAD" w:rsidRPr="00740B70" w:rsidRDefault="00626FAD" w:rsidP="00740B70">
      <w:pPr>
        <w:rPr>
          <w:rFonts w:ascii="Times New Roman" w:hAnsi="Times New Roman"/>
        </w:rPr>
      </w:pPr>
    </w:p>
    <w:p w:rsidR="00626FAD" w:rsidRDefault="00626FAD" w:rsidP="00022DDB">
      <w:pPr>
        <w:ind w:left="360"/>
        <w:rPr>
          <w:rFonts w:ascii="Times New Roman" w:hAnsi="Times New Roman"/>
        </w:rPr>
      </w:pPr>
    </w:p>
    <w:p w:rsidR="004C1075" w:rsidRPr="00F52A10" w:rsidRDefault="004C1075" w:rsidP="004C1075">
      <w:pPr>
        <w:jc w:val="both"/>
        <w:rPr>
          <w:rFonts w:ascii="Times New Roman" w:hAnsi="Times New Roman"/>
          <w:i/>
        </w:rPr>
      </w:pPr>
      <w:r w:rsidRPr="00F52A10">
        <w:rPr>
          <w:rFonts w:ascii="Times New Roman" w:hAnsi="Times New Roman"/>
          <w:i/>
        </w:rPr>
        <w:t>Temerrüt Faizi:</w:t>
      </w:r>
    </w:p>
    <w:p w:rsidR="004C1075" w:rsidRPr="00F52A10" w:rsidRDefault="004C1075" w:rsidP="004C107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hyperlink r:id="rId8" w:history="1">
        <w:r w:rsidRPr="00F52A10">
          <w:rPr>
            <w:rFonts w:ascii="Times New Roman" w:hAnsi="Times New Roman"/>
          </w:rPr>
          <w:t>Mal ve Hizmet Tedarikinde Alacaklıya Yapılan Geç Ödemelere İlişkin Temerrüt Faiz Oranının Belirlenmesi Hakkında Tebliğ</w:t>
        </w:r>
      </w:hyperlink>
      <w:r w:rsidRPr="00F52A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ile </w:t>
      </w:r>
      <w:r w:rsidRPr="00F52A10">
        <w:rPr>
          <w:rFonts w:ascii="Times New Roman" w:hAnsi="Times New Roman"/>
        </w:rPr>
        <w:t>6102 say</w:t>
      </w:r>
      <w:r>
        <w:rPr>
          <w:rFonts w:ascii="Times New Roman" w:hAnsi="Times New Roman"/>
        </w:rPr>
        <w:t>ılı Türk Ticaret Kanununun 1530uncu maddesi</w:t>
      </w:r>
      <w:r w:rsidRPr="00F52A10">
        <w:rPr>
          <w:rFonts w:ascii="Times New Roman" w:hAnsi="Times New Roman"/>
        </w:rPr>
        <w:t xml:space="preserve"> uyarınca mal ve hizmet tedarikinde alacaklıya yapılan geç ödemeler</w:t>
      </w:r>
      <w:r>
        <w:rPr>
          <w:rFonts w:ascii="Times New Roman" w:hAnsi="Times New Roman"/>
        </w:rPr>
        <w:t>e ilişkin temerrüt faiz oranın</w:t>
      </w:r>
      <w:r w:rsidRPr="00F52A10">
        <w:rPr>
          <w:rFonts w:ascii="Times New Roman" w:hAnsi="Times New Roman"/>
        </w:rPr>
        <w:t xml:space="preserve"> sözleşmede öngörülmediği veya ilgili hükümlerin geçersiz olduğu hallerde yıllık </w:t>
      </w:r>
      <w:r>
        <w:rPr>
          <w:rFonts w:ascii="Times New Roman" w:hAnsi="Times New Roman"/>
        </w:rPr>
        <w:t>%15 olarak belirlenmiştir. A</w:t>
      </w:r>
      <w:r w:rsidRPr="00F52A10">
        <w:rPr>
          <w:rFonts w:ascii="Times New Roman" w:hAnsi="Times New Roman"/>
        </w:rPr>
        <w:t>lacağın tahsili masrafları için talep edilebil</w:t>
      </w:r>
      <w:r>
        <w:rPr>
          <w:rFonts w:ascii="Times New Roman" w:hAnsi="Times New Roman"/>
        </w:rPr>
        <w:t>ecek asgari giderin tutarı ise 95</w:t>
      </w:r>
      <w:r w:rsidRPr="00F52A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TL</w:t>
      </w:r>
      <w:r w:rsidRPr="00F52A10">
        <w:rPr>
          <w:rFonts w:ascii="Times New Roman" w:hAnsi="Times New Roman"/>
        </w:rPr>
        <w:t xml:space="preserve"> olarak tespit edilmiştir.</w:t>
      </w:r>
    </w:p>
    <w:p w:rsidR="004C1075" w:rsidRDefault="004C1075" w:rsidP="004C1075">
      <w:pPr>
        <w:ind w:left="360"/>
        <w:rPr>
          <w:rFonts w:ascii="Times New Roman" w:hAnsi="Times New Roman"/>
        </w:rPr>
      </w:pPr>
    </w:p>
    <w:p w:rsidR="00626FAD" w:rsidRDefault="00626FAD" w:rsidP="004C1075">
      <w:pPr>
        <w:ind w:left="360"/>
        <w:rPr>
          <w:rFonts w:ascii="Times New Roman" w:hAnsi="Times New Roman"/>
        </w:rPr>
      </w:pPr>
    </w:p>
    <w:p w:rsidR="00626FAD" w:rsidRDefault="00626FAD" w:rsidP="00626FAD">
      <w:pPr>
        <w:jc w:val="both"/>
        <w:rPr>
          <w:rFonts w:ascii="Times New Roman" w:hAnsi="Times New Roman"/>
        </w:rPr>
      </w:pPr>
      <w:r w:rsidRPr="00626FAD">
        <w:rPr>
          <w:rFonts w:ascii="Times New Roman" w:hAnsi="Times New Roman"/>
          <w:i/>
        </w:rPr>
        <w:t xml:space="preserve">Rekabet Kurulundan İzin Alınması Gereken Birleşme </w:t>
      </w:r>
      <w:r w:rsidR="00740B70">
        <w:rPr>
          <w:rFonts w:ascii="Times New Roman" w:hAnsi="Times New Roman"/>
          <w:i/>
        </w:rPr>
        <w:t>v</w:t>
      </w:r>
      <w:r w:rsidRPr="00626FAD"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</w:rPr>
        <w:t xml:space="preserve"> Devralmalar:</w:t>
      </w:r>
    </w:p>
    <w:p w:rsidR="00626FAD" w:rsidRPr="00626FAD" w:rsidRDefault="00740B70" w:rsidP="00626F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Aşağıdaki birleşme ve devralma hallerinde,</w:t>
      </w:r>
    </w:p>
    <w:p w:rsidR="00740B70" w:rsidRDefault="00626FAD" w:rsidP="00740B70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</w:rPr>
      </w:pPr>
      <w:r w:rsidRPr="00626FAD">
        <w:rPr>
          <w:rFonts w:ascii="Times New Roman" w:hAnsi="Times New Roman"/>
        </w:rPr>
        <w:t xml:space="preserve">İşlem taraflarının Türkiye ciroları toplamının </w:t>
      </w:r>
      <w:r w:rsidR="00740B70">
        <w:rPr>
          <w:rFonts w:ascii="Times New Roman" w:hAnsi="Times New Roman"/>
        </w:rPr>
        <w:t>100</w:t>
      </w:r>
      <w:r w:rsidRPr="00626FAD">
        <w:rPr>
          <w:rFonts w:ascii="Times New Roman" w:hAnsi="Times New Roman"/>
        </w:rPr>
        <w:t xml:space="preserve"> milyon TL’yi ve işlem taraflarından en az ikisinin Türkiye cirolarının ayrı ayrı </w:t>
      </w:r>
      <w:r w:rsidR="00740B70">
        <w:rPr>
          <w:rFonts w:ascii="Times New Roman" w:hAnsi="Times New Roman"/>
        </w:rPr>
        <w:t>30</w:t>
      </w:r>
      <w:r w:rsidRPr="00626FAD">
        <w:rPr>
          <w:rFonts w:ascii="Times New Roman" w:hAnsi="Times New Roman"/>
        </w:rPr>
        <w:t xml:space="preserve"> milyon TL’yi veya</w:t>
      </w:r>
    </w:p>
    <w:p w:rsidR="00626FAD" w:rsidRPr="00740B70" w:rsidRDefault="00626FAD" w:rsidP="00740B70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</w:rPr>
      </w:pPr>
      <w:r w:rsidRPr="00740B70">
        <w:rPr>
          <w:rFonts w:ascii="Times New Roman" w:hAnsi="Times New Roman"/>
        </w:rPr>
        <w:t xml:space="preserve">Devralma işlemlerinde devre konu varlık ya da faaliyetin, birleşme işlemlerinde ise işlem taraflarından en az birinin Türkiye cirosunun </w:t>
      </w:r>
      <w:r w:rsidR="00740B70">
        <w:rPr>
          <w:rFonts w:ascii="Times New Roman" w:hAnsi="Times New Roman"/>
        </w:rPr>
        <w:t>30</w:t>
      </w:r>
      <w:r w:rsidRPr="00740B70">
        <w:rPr>
          <w:rFonts w:ascii="Times New Roman" w:hAnsi="Times New Roman"/>
        </w:rPr>
        <w:t xml:space="preserve"> milyon TL’yi ve diğer işlem taraflarından en az birinin dünya cirosunun </w:t>
      </w:r>
      <w:r w:rsidR="00740B70">
        <w:rPr>
          <w:rFonts w:ascii="Times New Roman" w:hAnsi="Times New Roman"/>
        </w:rPr>
        <w:t>500</w:t>
      </w:r>
      <w:r w:rsidRPr="00740B70">
        <w:rPr>
          <w:rFonts w:ascii="Times New Roman" w:hAnsi="Times New Roman"/>
        </w:rPr>
        <w:t xml:space="preserve"> milyon TL’yi</w:t>
      </w:r>
    </w:p>
    <w:p w:rsidR="00626FAD" w:rsidRDefault="00626FAD" w:rsidP="00626F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proofErr w:type="gramStart"/>
      <w:r w:rsidRPr="00626FAD">
        <w:rPr>
          <w:rFonts w:ascii="Times New Roman" w:hAnsi="Times New Roman"/>
        </w:rPr>
        <w:t>aşması</w:t>
      </w:r>
      <w:proofErr w:type="gramEnd"/>
      <w:r w:rsidRPr="00626FAD">
        <w:rPr>
          <w:rFonts w:ascii="Times New Roman" w:hAnsi="Times New Roman"/>
        </w:rPr>
        <w:t xml:space="preserve"> halinde söz konusu işlemin hukuki geçerlilik kazanabilmesi için Kuruldan izin alınması zorunludur.</w:t>
      </w:r>
    </w:p>
    <w:p w:rsidR="00740B70" w:rsidRDefault="00740B70" w:rsidP="00740B70">
      <w:pPr>
        <w:jc w:val="both"/>
        <w:rPr>
          <w:rFonts w:ascii="Times New Roman" w:hAnsi="Times New Roman"/>
        </w:rPr>
      </w:pPr>
    </w:p>
    <w:p w:rsidR="00740B70" w:rsidRDefault="00740B70" w:rsidP="00740B70">
      <w:pPr>
        <w:jc w:val="both"/>
        <w:rPr>
          <w:rFonts w:ascii="Times New Roman" w:hAnsi="Times New Roman"/>
        </w:rPr>
      </w:pPr>
    </w:p>
    <w:p w:rsidR="00740B70" w:rsidRPr="00740B70" w:rsidRDefault="00740B70" w:rsidP="00740B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Saygılarımızla,</w:t>
      </w:r>
    </w:p>
    <w:sectPr w:rsidR="00740B70" w:rsidRPr="0074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878"/>
    <w:multiLevelType w:val="hybridMultilevel"/>
    <w:tmpl w:val="C6BCAC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06084B"/>
    <w:multiLevelType w:val="hybridMultilevel"/>
    <w:tmpl w:val="C3148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637FB"/>
    <w:multiLevelType w:val="hybridMultilevel"/>
    <w:tmpl w:val="A768AD74"/>
    <w:lvl w:ilvl="0" w:tplc="4D7870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C688A"/>
    <w:multiLevelType w:val="hybridMultilevel"/>
    <w:tmpl w:val="4A002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011C"/>
    <w:multiLevelType w:val="hybridMultilevel"/>
    <w:tmpl w:val="0EF4E422"/>
    <w:lvl w:ilvl="0" w:tplc="B0B462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76ACE"/>
    <w:multiLevelType w:val="hybridMultilevel"/>
    <w:tmpl w:val="69820A46"/>
    <w:lvl w:ilvl="0" w:tplc="9A5675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76332"/>
    <w:multiLevelType w:val="hybridMultilevel"/>
    <w:tmpl w:val="684A7C54"/>
    <w:lvl w:ilvl="0" w:tplc="9D1E0906">
      <w:start w:val="1"/>
      <w:numFmt w:val="bullet"/>
      <w:lvlText w:val="-"/>
      <w:lvlJc w:val="left"/>
      <w:pPr>
        <w:ind w:left="720" w:hanging="360"/>
      </w:pPr>
      <w:rPr>
        <w:rFonts w:ascii="Calibri" w:eastAsia="ヒラギノ明朝 Pro W3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91036"/>
    <w:multiLevelType w:val="hybridMultilevel"/>
    <w:tmpl w:val="2348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30"/>
    <w:rsid w:val="00012CE3"/>
    <w:rsid w:val="00022DDB"/>
    <w:rsid w:val="00030049"/>
    <w:rsid w:val="000420E7"/>
    <w:rsid w:val="00074450"/>
    <w:rsid w:val="00094C24"/>
    <w:rsid w:val="000D2813"/>
    <w:rsid w:val="001A0B00"/>
    <w:rsid w:val="002114DC"/>
    <w:rsid w:val="002D4D0A"/>
    <w:rsid w:val="003534E7"/>
    <w:rsid w:val="003E256B"/>
    <w:rsid w:val="003F25E1"/>
    <w:rsid w:val="0040121D"/>
    <w:rsid w:val="004061AB"/>
    <w:rsid w:val="00484ACA"/>
    <w:rsid w:val="00497A41"/>
    <w:rsid w:val="004A4EAB"/>
    <w:rsid w:val="004C1075"/>
    <w:rsid w:val="00552340"/>
    <w:rsid w:val="005D4274"/>
    <w:rsid w:val="00626FAD"/>
    <w:rsid w:val="00627AD6"/>
    <w:rsid w:val="00637EDC"/>
    <w:rsid w:val="00683A83"/>
    <w:rsid w:val="00703DB6"/>
    <w:rsid w:val="00740B70"/>
    <w:rsid w:val="007722B9"/>
    <w:rsid w:val="007D1390"/>
    <w:rsid w:val="007D4441"/>
    <w:rsid w:val="008127C8"/>
    <w:rsid w:val="008516B7"/>
    <w:rsid w:val="00883412"/>
    <w:rsid w:val="008D798C"/>
    <w:rsid w:val="009A3C76"/>
    <w:rsid w:val="009B0D00"/>
    <w:rsid w:val="009F120E"/>
    <w:rsid w:val="009F147B"/>
    <w:rsid w:val="009F55DF"/>
    <w:rsid w:val="00A44ED3"/>
    <w:rsid w:val="00A827FA"/>
    <w:rsid w:val="00B337FB"/>
    <w:rsid w:val="00B74F29"/>
    <w:rsid w:val="00C23815"/>
    <w:rsid w:val="00C527FB"/>
    <w:rsid w:val="00CB7290"/>
    <w:rsid w:val="00DD2783"/>
    <w:rsid w:val="00DE18BA"/>
    <w:rsid w:val="00DF303D"/>
    <w:rsid w:val="00DF7186"/>
    <w:rsid w:val="00E154DA"/>
    <w:rsid w:val="00E83923"/>
    <w:rsid w:val="00E92627"/>
    <w:rsid w:val="00ED77CB"/>
    <w:rsid w:val="00F52A10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5A30"/>
  </w:style>
  <w:style w:type="paragraph" w:customStyle="1" w:styleId="3-NormalYaz">
    <w:name w:val="3-Normal Yazı"/>
    <w:rsid w:val="002114D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2114DC"/>
    <w:rPr>
      <w:color w:val="0000FF"/>
      <w:u w:val="single"/>
    </w:rPr>
  </w:style>
  <w:style w:type="paragraph" w:customStyle="1" w:styleId="2-OrtaBaslk">
    <w:name w:val="2-Orta Baslık"/>
    <w:rsid w:val="00074450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ListParagraph">
    <w:name w:val="List Paragraph"/>
    <w:basedOn w:val="Normal"/>
    <w:uiPriority w:val="34"/>
    <w:qFormat/>
    <w:rsid w:val="000744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A1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DD27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5A30"/>
  </w:style>
  <w:style w:type="paragraph" w:customStyle="1" w:styleId="3-NormalYaz">
    <w:name w:val="3-Normal Yazı"/>
    <w:rsid w:val="002114D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2114DC"/>
    <w:rPr>
      <w:color w:val="0000FF"/>
      <w:u w:val="single"/>
    </w:rPr>
  </w:style>
  <w:style w:type="paragraph" w:customStyle="1" w:styleId="2-OrtaBaslk">
    <w:name w:val="2-Orta Baslık"/>
    <w:rsid w:val="00074450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ListParagraph">
    <w:name w:val="List Paragraph"/>
    <w:basedOn w:val="Normal"/>
    <w:uiPriority w:val="34"/>
    <w:qFormat/>
    <w:rsid w:val="000744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A1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DD27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eskiler/2012/12/20121229-2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b.gov.tr/fileadmin/user_upload/Tebligler/Harclar_Kanunu/69_serno_harclar_genteb_e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.gov.tr/index.php?id=1079&amp;uid=oJfD3kT9hLOBQ5wp&amp;type=tebli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5</cp:revision>
  <dcterms:created xsi:type="dcterms:W3CDTF">2013-01-02T09:21:00Z</dcterms:created>
  <dcterms:modified xsi:type="dcterms:W3CDTF">2013-01-02T10:18:00Z</dcterms:modified>
</cp:coreProperties>
</file>