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E3" w:rsidRPr="002772CC" w:rsidRDefault="00CA65C9" w:rsidP="00F40AE3">
      <w:pPr>
        <w:pStyle w:val="NormalWeb"/>
        <w:shd w:val="clear" w:color="auto" w:fill="FFFFFF"/>
        <w:jc w:val="both"/>
        <w:rPr>
          <w:rFonts w:ascii="Times New Roman" w:eastAsiaTheme="majorEastAsia" w:hAnsi="Times New Roman" w:cs="Times New Roman"/>
          <w:b/>
          <w:bCs/>
          <w:color w:val="548DD4" w:themeColor="text2" w:themeTint="99"/>
          <w:sz w:val="26"/>
          <w:szCs w:val="26"/>
          <w:lang w:eastAsia="en-US"/>
        </w:rPr>
      </w:pPr>
      <w:r>
        <w:fldChar w:fldCharType="begin"/>
      </w:r>
      <w:r>
        <w:instrText xml:space="preserve"> HYPERLINK "http://www.resmigazete.gov.tr/eskiler/2013/01/20130101-1.htm" </w:instrText>
      </w:r>
      <w:r>
        <w:fldChar w:fldCharType="separate"/>
      </w:r>
      <w:r w:rsidR="003F7A44">
        <w:rPr>
          <w:rStyle w:val="Hyperlink"/>
          <w:rFonts w:ascii="Times New Roman" w:eastAsiaTheme="majorEastAsia" w:hAnsi="Times New Roman" w:cs="Times New Roman"/>
          <w:b/>
          <w:color w:val="548DD4" w:themeColor="text2" w:themeTint="99"/>
          <w:sz w:val="26"/>
          <w:szCs w:val="26"/>
          <w:u w:val="none"/>
        </w:rPr>
        <w:t>Gelir Vergisi Kanunu, KDV Kanunu ve KKDF Oranlarında Değişiklik Yapan</w:t>
      </w:r>
      <w:r w:rsidR="002772CC" w:rsidRPr="002772CC">
        <w:rPr>
          <w:rStyle w:val="Hyperlink"/>
          <w:rFonts w:ascii="Times New Roman" w:eastAsiaTheme="majorEastAsia" w:hAnsi="Times New Roman" w:cs="Times New Roman"/>
          <w:b/>
          <w:color w:val="548DD4" w:themeColor="text2" w:themeTint="99"/>
          <w:sz w:val="26"/>
          <w:szCs w:val="26"/>
          <w:u w:val="none"/>
        </w:rPr>
        <w:t xml:space="preserve"> </w:t>
      </w:r>
      <w:r w:rsidR="002772CC">
        <w:rPr>
          <w:rStyle w:val="Hyperlink"/>
          <w:rFonts w:ascii="Times New Roman" w:eastAsiaTheme="majorEastAsia" w:hAnsi="Times New Roman" w:cs="Times New Roman"/>
          <w:b/>
          <w:color w:val="548DD4" w:themeColor="text2" w:themeTint="99"/>
          <w:sz w:val="26"/>
          <w:szCs w:val="26"/>
          <w:u w:val="none"/>
        </w:rPr>
        <w:t xml:space="preserve">Bakanlar Kurulu </w:t>
      </w:r>
      <w:r w:rsidR="002772CC" w:rsidRPr="002772CC">
        <w:rPr>
          <w:rStyle w:val="Hyperlink"/>
          <w:rFonts w:ascii="Times New Roman" w:eastAsiaTheme="majorEastAsia" w:hAnsi="Times New Roman" w:cs="Times New Roman"/>
          <w:b/>
          <w:color w:val="548DD4" w:themeColor="text2" w:themeTint="99"/>
          <w:sz w:val="26"/>
          <w:szCs w:val="26"/>
          <w:u w:val="none"/>
        </w:rPr>
        <w:t>Karar</w:t>
      </w:r>
      <w:r>
        <w:rPr>
          <w:rStyle w:val="Hyperlink"/>
          <w:rFonts w:ascii="Times New Roman" w:eastAsiaTheme="majorEastAsia" w:hAnsi="Times New Roman" w:cs="Times New Roman"/>
          <w:b/>
          <w:color w:val="548DD4" w:themeColor="text2" w:themeTint="99"/>
          <w:sz w:val="26"/>
          <w:szCs w:val="26"/>
          <w:u w:val="none"/>
        </w:rPr>
        <w:fldChar w:fldCharType="end"/>
      </w:r>
      <w:r w:rsidR="002772CC">
        <w:rPr>
          <w:rFonts w:ascii="Times New Roman" w:hAnsi="Times New Roman" w:cs="Times New Roman"/>
          <w:b/>
          <w:color w:val="548DD4" w:themeColor="text2" w:themeTint="99"/>
          <w:sz w:val="26"/>
          <w:szCs w:val="26"/>
        </w:rPr>
        <w:t>ı</w:t>
      </w:r>
    </w:p>
    <w:p w:rsidR="00F40AE3" w:rsidRDefault="002772CC" w:rsidP="0079643E">
      <w:pPr>
        <w:pStyle w:val="NormalWeb"/>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1 Ocak 2013</w:t>
      </w:r>
      <w:r w:rsidR="00F40AE3">
        <w:rPr>
          <w:rFonts w:ascii="Times New Roman" w:hAnsi="Times New Roman" w:cs="Times New Roman"/>
          <w:color w:val="000000"/>
          <w:sz w:val="22"/>
          <w:szCs w:val="22"/>
        </w:rPr>
        <w:t xml:space="preserve"> Tarihli Resmi Gazetede</w:t>
      </w:r>
      <w:r>
        <w:rPr>
          <w:rFonts w:ascii="Times New Roman" w:hAnsi="Times New Roman" w:cs="Times New Roman"/>
          <w:color w:val="000000"/>
          <w:sz w:val="22"/>
          <w:szCs w:val="22"/>
        </w:rPr>
        <w:t xml:space="preserve">, </w:t>
      </w:r>
      <w:r w:rsidRPr="00D56A38">
        <w:rPr>
          <w:rFonts w:ascii="Times New Roman" w:eastAsiaTheme="majorEastAsia" w:hAnsi="Times New Roman" w:cs="Times New Roman"/>
          <w:sz w:val="22"/>
          <w:szCs w:val="22"/>
        </w:rPr>
        <w:t>Bazı Vergi Kanunlarında Yer Alan Tevkifat Nispetleri, Damga Vergisi ve Harç Oranları ile Bazı Mal ve Hizmetlere Uygulanan Çeşitli Vergi, Fon ve Kesintilere İlişkin Oran ve Tut</w:t>
      </w:r>
      <w:r w:rsidR="0079643E" w:rsidRPr="00D56A38">
        <w:rPr>
          <w:rFonts w:ascii="Times New Roman" w:eastAsiaTheme="majorEastAsia" w:hAnsi="Times New Roman" w:cs="Times New Roman"/>
          <w:sz w:val="22"/>
          <w:szCs w:val="22"/>
        </w:rPr>
        <w:t xml:space="preserve">arların Tespit Edilmesine Dair </w:t>
      </w:r>
      <w:r w:rsidRPr="00D56A38">
        <w:rPr>
          <w:rFonts w:ascii="Times New Roman" w:eastAsiaTheme="majorEastAsia" w:hAnsi="Times New Roman" w:cs="Times New Roman"/>
          <w:sz w:val="22"/>
          <w:szCs w:val="22"/>
        </w:rPr>
        <w:t>Bakanlar Kurulu Karar</w:t>
      </w:r>
      <w:r w:rsidRPr="002772CC">
        <w:rPr>
          <w:rFonts w:ascii="Times New Roman" w:hAnsi="Times New Roman" w:cs="Times New Roman"/>
          <w:sz w:val="22"/>
          <w:szCs w:val="22"/>
        </w:rPr>
        <w:t>ı</w:t>
      </w:r>
      <w:r>
        <w:rPr>
          <w:rFonts w:ascii="Times New Roman" w:eastAsiaTheme="majorEastAsia" w:hAnsi="Times New Roman" w:cs="Times New Roman"/>
          <w:b/>
          <w:bCs/>
          <w:color w:val="548DD4" w:themeColor="text2" w:themeTint="99"/>
          <w:sz w:val="26"/>
          <w:szCs w:val="26"/>
          <w:lang w:eastAsia="en-US"/>
        </w:rPr>
        <w:t xml:space="preserve"> </w:t>
      </w:r>
      <w:r w:rsidR="0079643E">
        <w:rPr>
          <w:rFonts w:ascii="Times New Roman" w:hAnsi="Times New Roman" w:cs="Times New Roman"/>
          <w:color w:val="000000"/>
          <w:sz w:val="22"/>
          <w:szCs w:val="22"/>
        </w:rPr>
        <w:t>ile aşağıdaki değişikliklere gidilmiştir:</w:t>
      </w:r>
    </w:p>
    <w:p w:rsidR="0079643E" w:rsidRPr="0079643E" w:rsidRDefault="0079643E" w:rsidP="0079643E">
      <w:pPr>
        <w:pStyle w:val="NormalWeb"/>
        <w:shd w:val="clear" w:color="auto" w:fill="FFFFFF"/>
        <w:jc w:val="both"/>
        <w:rPr>
          <w:rFonts w:ascii="Times New Roman" w:hAnsi="Times New Roman" w:cs="Times New Roman"/>
          <w:i/>
          <w:color w:val="000000"/>
          <w:sz w:val="22"/>
          <w:szCs w:val="22"/>
        </w:rPr>
      </w:pPr>
      <w:r w:rsidRPr="0079643E">
        <w:rPr>
          <w:rFonts w:ascii="Times New Roman" w:hAnsi="Times New Roman" w:cs="Times New Roman"/>
          <w:i/>
          <w:color w:val="000000"/>
          <w:sz w:val="22"/>
          <w:szCs w:val="22"/>
        </w:rPr>
        <w:t>Gelir Vergisi Kanunu:</w:t>
      </w:r>
    </w:p>
    <w:p w:rsidR="0079643E" w:rsidRDefault="0079643E" w:rsidP="0079643E">
      <w:pPr>
        <w:pStyle w:val="NormalWeb"/>
        <w:numPr>
          <w:ilvl w:val="0"/>
          <w:numId w:val="48"/>
        </w:numPr>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23.07.2006 tarihli ve 2006/10731 sayılı Bakanlar Kurulu Kararı’na aşağıdaki (d) bendi eklenmiştir. Buna göre, b</w:t>
      </w:r>
      <w:r w:rsidRPr="0079643E">
        <w:rPr>
          <w:rFonts w:ascii="Times New Roman" w:hAnsi="Times New Roman" w:cs="Times New Roman"/>
          <w:color w:val="000000"/>
          <w:sz w:val="22"/>
          <w:szCs w:val="22"/>
        </w:rPr>
        <w:t>ankalar arası mevduat ile aracı kurumların borsa para piyasasında değerlendirdikleri kendilerine ait paralarına yürütülen faizler hariç olmak üzere, Gelir Vergisi Kanunu’nun 75inci maddesinin ikinci fıkrasının (7) ve (12) numaralı bentlerinde yazılı menkul sermaye iratlarından;</w:t>
      </w:r>
    </w:p>
    <w:p w:rsidR="0079643E" w:rsidRPr="0079643E" w:rsidRDefault="0079643E" w:rsidP="0079643E">
      <w:pPr>
        <w:pStyle w:val="NormalWeb"/>
        <w:numPr>
          <w:ilvl w:val="1"/>
          <w:numId w:val="48"/>
        </w:numPr>
        <w:shd w:val="clear" w:color="auto" w:fill="FFFFFF"/>
        <w:jc w:val="both"/>
        <w:rPr>
          <w:rFonts w:ascii="Times New Roman" w:hAnsi="Times New Roman" w:cs="Times New Roman"/>
          <w:color w:val="000000"/>
          <w:sz w:val="22"/>
          <w:szCs w:val="22"/>
        </w:rPr>
      </w:pPr>
      <w:r w:rsidRPr="0079643E">
        <w:rPr>
          <w:rFonts w:ascii="Times New Roman" w:hAnsi="Times New Roman" w:cs="Times New Roman"/>
          <w:color w:val="000000"/>
          <w:sz w:val="22"/>
          <w:szCs w:val="22"/>
        </w:rPr>
        <w:t>Döviz tevdiat hesaplarına yürütülen faizlerden ve katılım bankalarınca döviz katılma hesaplarına ödenen kar paylarından</w:t>
      </w:r>
      <w:r>
        <w:rPr>
          <w:rFonts w:ascii="Times New Roman" w:hAnsi="Times New Roman" w:cs="Times New Roman"/>
          <w:color w:val="000000"/>
          <w:sz w:val="22"/>
          <w:szCs w:val="22"/>
        </w:rPr>
        <w:t xml:space="preserve"> </w:t>
      </w:r>
      <w:r w:rsidR="0017722A">
        <w:rPr>
          <w:rFonts w:ascii="Times New Roman" w:hAnsi="Times New Roman" w:cs="Times New Roman"/>
          <w:color w:val="000000"/>
          <w:sz w:val="22"/>
          <w:szCs w:val="22"/>
        </w:rPr>
        <w:t xml:space="preserve">daha önce %15 oranında </w:t>
      </w:r>
      <w:proofErr w:type="spellStart"/>
      <w:r w:rsidR="0017722A">
        <w:rPr>
          <w:rFonts w:ascii="Times New Roman" w:hAnsi="Times New Roman" w:cs="Times New Roman"/>
          <w:color w:val="000000"/>
          <w:sz w:val="22"/>
          <w:szCs w:val="22"/>
        </w:rPr>
        <w:t>tevkifat</w:t>
      </w:r>
      <w:proofErr w:type="spellEnd"/>
      <w:r w:rsidR="0017722A">
        <w:rPr>
          <w:rFonts w:ascii="Times New Roman" w:hAnsi="Times New Roman" w:cs="Times New Roman"/>
          <w:color w:val="000000"/>
          <w:sz w:val="22"/>
          <w:szCs w:val="22"/>
        </w:rPr>
        <w:t xml:space="preserve"> yapılırken artık </w:t>
      </w:r>
      <w:r>
        <w:rPr>
          <w:rFonts w:ascii="Times New Roman" w:hAnsi="Times New Roman" w:cs="Times New Roman"/>
          <w:color w:val="000000"/>
          <w:sz w:val="22"/>
          <w:szCs w:val="22"/>
        </w:rPr>
        <w:t>aşağ</w:t>
      </w:r>
      <w:r w:rsidR="0017722A">
        <w:rPr>
          <w:rFonts w:ascii="Times New Roman" w:hAnsi="Times New Roman" w:cs="Times New Roman"/>
          <w:color w:val="000000"/>
          <w:sz w:val="22"/>
          <w:szCs w:val="22"/>
        </w:rPr>
        <w:t xml:space="preserve">ıdaki oranlarda </w:t>
      </w:r>
      <w:proofErr w:type="spellStart"/>
      <w:r w:rsidR="0017722A">
        <w:rPr>
          <w:rFonts w:ascii="Times New Roman" w:hAnsi="Times New Roman" w:cs="Times New Roman"/>
          <w:color w:val="000000"/>
          <w:sz w:val="22"/>
          <w:szCs w:val="22"/>
        </w:rPr>
        <w:t>tevkifat</w:t>
      </w:r>
      <w:proofErr w:type="spellEnd"/>
      <w:r w:rsidR="0017722A">
        <w:rPr>
          <w:rFonts w:ascii="Times New Roman" w:hAnsi="Times New Roman" w:cs="Times New Roman"/>
          <w:color w:val="000000"/>
          <w:sz w:val="22"/>
          <w:szCs w:val="22"/>
        </w:rPr>
        <w:t xml:space="preserve"> yapılacaktır:</w:t>
      </w:r>
    </w:p>
    <w:tbl>
      <w:tblPr>
        <w:tblStyle w:val="TableGrid"/>
        <w:tblW w:w="0" w:type="auto"/>
        <w:tblInd w:w="1388" w:type="dxa"/>
        <w:tblLook w:val="04A0" w:firstRow="1" w:lastRow="0" w:firstColumn="1" w:lastColumn="0" w:noHBand="0" w:noVBand="1"/>
      </w:tblPr>
      <w:tblGrid>
        <w:gridCol w:w="4606"/>
        <w:gridCol w:w="730"/>
      </w:tblGrid>
      <w:tr w:rsidR="0079643E" w:rsidTr="0079643E">
        <w:tc>
          <w:tcPr>
            <w:tcW w:w="4606" w:type="dxa"/>
          </w:tcPr>
          <w:p w:rsidR="0079643E" w:rsidRDefault="0079643E" w:rsidP="0079643E">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Vadesiz ve ihbarlı hesaplar ile 6 aya kadar (6 ay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vadeli hesaplarda</w:t>
            </w:r>
          </w:p>
        </w:tc>
        <w:tc>
          <w:tcPr>
            <w:tcW w:w="730" w:type="dxa"/>
          </w:tcPr>
          <w:p w:rsidR="0079643E" w:rsidRDefault="0079643E" w:rsidP="0079643E">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w:t>
            </w:r>
          </w:p>
        </w:tc>
      </w:tr>
      <w:tr w:rsidR="0079643E" w:rsidTr="0079643E">
        <w:tc>
          <w:tcPr>
            <w:tcW w:w="4606" w:type="dxa"/>
          </w:tcPr>
          <w:p w:rsidR="0079643E" w:rsidRDefault="0079643E" w:rsidP="0079643E">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yıla kadar (</w:t>
            </w:r>
            <w:r>
              <w:rPr>
                <w:rFonts w:ascii="Times New Roman" w:hAnsi="Times New Roman" w:cs="Times New Roman"/>
                <w:color w:val="000000"/>
                <w:sz w:val="22"/>
                <w:szCs w:val="22"/>
              </w:rPr>
              <w:t xml:space="preserve">1 yıl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vadeli hesaplarda</w:t>
            </w:r>
          </w:p>
        </w:tc>
        <w:tc>
          <w:tcPr>
            <w:tcW w:w="730" w:type="dxa"/>
          </w:tcPr>
          <w:p w:rsidR="0079643E" w:rsidRDefault="0079643E" w:rsidP="0079643E">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%15</w:t>
            </w:r>
          </w:p>
        </w:tc>
      </w:tr>
      <w:tr w:rsidR="0079643E" w:rsidTr="0079643E">
        <w:tc>
          <w:tcPr>
            <w:tcW w:w="4606" w:type="dxa"/>
          </w:tcPr>
          <w:p w:rsidR="0079643E" w:rsidRDefault="0079643E" w:rsidP="0079643E">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yıldan uzun vadeli hesaplarda</w:t>
            </w:r>
          </w:p>
        </w:tc>
        <w:tc>
          <w:tcPr>
            <w:tcW w:w="730" w:type="dxa"/>
          </w:tcPr>
          <w:p w:rsidR="0079643E" w:rsidRDefault="0079643E" w:rsidP="0079643E">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%13</w:t>
            </w:r>
          </w:p>
        </w:tc>
      </w:tr>
    </w:tbl>
    <w:p w:rsidR="0079643E" w:rsidRDefault="0017722A" w:rsidP="0017722A">
      <w:pPr>
        <w:pStyle w:val="NormalWeb"/>
        <w:numPr>
          <w:ilvl w:val="1"/>
          <w:numId w:val="48"/>
        </w:numPr>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Mevduat faizlerinden </w:t>
      </w:r>
      <w:r>
        <w:rPr>
          <w:rFonts w:ascii="Times New Roman" w:hAnsi="Times New Roman" w:cs="Times New Roman"/>
          <w:color w:val="000000"/>
          <w:sz w:val="22"/>
          <w:szCs w:val="22"/>
        </w:rPr>
        <w:t xml:space="preserve">daha önce %15 oranında </w:t>
      </w:r>
      <w:proofErr w:type="spellStart"/>
      <w:r>
        <w:rPr>
          <w:rFonts w:ascii="Times New Roman" w:hAnsi="Times New Roman" w:cs="Times New Roman"/>
          <w:color w:val="000000"/>
          <w:sz w:val="22"/>
          <w:szCs w:val="22"/>
        </w:rPr>
        <w:t>tevkifat</w:t>
      </w:r>
      <w:proofErr w:type="spellEnd"/>
      <w:r>
        <w:rPr>
          <w:rFonts w:ascii="Times New Roman" w:hAnsi="Times New Roman" w:cs="Times New Roman"/>
          <w:color w:val="000000"/>
          <w:sz w:val="22"/>
          <w:szCs w:val="22"/>
        </w:rPr>
        <w:t xml:space="preserve"> yapılırken artık aşağıdaki oranlarda </w:t>
      </w:r>
      <w:proofErr w:type="spellStart"/>
      <w:r>
        <w:rPr>
          <w:rFonts w:ascii="Times New Roman" w:hAnsi="Times New Roman" w:cs="Times New Roman"/>
          <w:color w:val="000000"/>
          <w:sz w:val="22"/>
          <w:szCs w:val="22"/>
        </w:rPr>
        <w:t>tevkifat</w:t>
      </w:r>
      <w:proofErr w:type="spellEnd"/>
      <w:r>
        <w:rPr>
          <w:rFonts w:ascii="Times New Roman" w:hAnsi="Times New Roman" w:cs="Times New Roman"/>
          <w:color w:val="000000"/>
          <w:sz w:val="22"/>
          <w:szCs w:val="22"/>
        </w:rPr>
        <w:t xml:space="preserve"> yapılacaktır:</w:t>
      </w:r>
    </w:p>
    <w:tbl>
      <w:tblPr>
        <w:tblStyle w:val="TableGrid"/>
        <w:tblW w:w="0" w:type="auto"/>
        <w:tblInd w:w="1388" w:type="dxa"/>
        <w:tblLook w:val="04A0" w:firstRow="1" w:lastRow="0" w:firstColumn="1" w:lastColumn="0" w:noHBand="0" w:noVBand="1"/>
      </w:tblPr>
      <w:tblGrid>
        <w:gridCol w:w="4606"/>
        <w:gridCol w:w="730"/>
      </w:tblGrid>
      <w:tr w:rsidR="0017722A" w:rsidTr="0054425D">
        <w:tc>
          <w:tcPr>
            <w:tcW w:w="4606"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Vadesiz ve ihbarlı hesaplar ile 6 aya kadar (6 ay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vadeli hesaplarda</w:t>
            </w:r>
          </w:p>
        </w:tc>
        <w:tc>
          <w:tcPr>
            <w:tcW w:w="730"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%15</w:t>
            </w:r>
          </w:p>
        </w:tc>
      </w:tr>
      <w:tr w:rsidR="0017722A" w:rsidTr="0054425D">
        <w:tc>
          <w:tcPr>
            <w:tcW w:w="4606"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 yıla kadar (1 yıl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vadeli hesaplarda</w:t>
            </w:r>
          </w:p>
        </w:tc>
        <w:tc>
          <w:tcPr>
            <w:tcW w:w="730"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w:t>
            </w:r>
          </w:p>
        </w:tc>
      </w:tr>
      <w:tr w:rsidR="0017722A" w:rsidTr="0054425D">
        <w:tc>
          <w:tcPr>
            <w:tcW w:w="4606"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yıldan uzun vadeli hesaplarda</w:t>
            </w:r>
          </w:p>
        </w:tc>
        <w:tc>
          <w:tcPr>
            <w:tcW w:w="730"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%10</w:t>
            </w:r>
          </w:p>
        </w:tc>
      </w:tr>
    </w:tbl>
    <w:p w:rsidR="0017722A" w:rsidRDefault="0017722A" w:rsidP="0017722A">
      <w:pPr>
        <w:pStyle w:val="NormalWeb"/>
        <w:numPr>
          <w:ilvl w:val="1"/>
          <w:numId w:val="48"/>
        </w:numPr>
        <w:shd w:val="clear" w:color="auto" w:fill="FFFFFF"/>
        <w:jc w:val="both"/>
        <w:rPr>
          <w:rFonts w:ascii="Times New Roman" w:hAnsi="Times New Roman" w:cs="Times New Roman"/>
          <w:color w:val="000000"/>
          <w:sz w:val="22"/>
          <w:szCs w:val="22"/>
        </w:rPr>
      </w:pPr>
      <w:r w:rsidRPr="0017722A">
        <w:rPr>
          <w:rFonts w:ascii="Times New Roman" w:hAnsi="Times New Roman" w:cs="Times New Roman"/>
          <w:color w:val="000000"/>
          <w:sz w:val="22"/>
          <w:szCs w:val="22"/>
        </w:rPr>
        <w:t>Katılım bankları tarafından ödenen katılma hesabı kar</w:t>
      </w:r>
      <w:r>
        <w:rPr>
          <w:rFonts w:ascii="Times New Roman" w:hAnsi="Times New Roman" w:cs="Times New Roman"/>
          <w:color w:val="000000"/>
          <w:sz w:val="22"/>
          <w:szCs w:val="22"/>
        </w:rPr>
        <w:t xml:space="preserve">şılığında ödenen kar paylarından </w:t>
      </w:r>
      <w:r w:rsidR="00044253">
        <w:rPr>
          <w:rFonts w:ascii="Times New Roman" w:hAnsi="Times New Roman" w:cs="Times New Roman"/>
          <w:color w:val="000000"/>
          <w:sz w:val="22"/>
          <w:szCs w:val="22"/>
        </w:rPr>
        <w:t xml:space="preserve">daha önce %15 oranında </w:t>
      </w:r>
      <w:proofErr w:type="spellStart"/>
      <w:r w:rsidR="00044253">
        <w:rPr>
          <w:rFonts w:ascii="Times New Roman" w:hAnsi="Times New Roman" w:cs="Times New Roman"/>
          <w:color w:val="000000"/>
          <w:sz w:val="22"/>
          <w:szCs w:val="22"/>
        </w:rPr>
        <w:t>tevkifat</w:t>
      </w:r>
      <w:proofErr w:type="spellEnd"/>
      <w:r w:rsidR="00044253">
        <w:rPr>
          <w:rFonts w:ascii="Times New Roman" w:hAnsi="Times New Roman" w:cs="Times New Roman"/>
          <w:color w:val="000000"/>
          <w:sz w:val="22"/>
          <w:szCs w:val="22"/>
        </w:rPr>
        <w:t xml:space="preserve"> yapılırken artık </w:t>
      </w:r>
      <w:r>
        <w:rPr>
          <w:rFonts w:ascii="Times New Roman" w:hAnsi="Times New Roman" w:cs="Times New Roman"/>
          <w:color w:val="000000"/>
          <w:sz w:val="22"/>
          <w:szCs w:val="22"/>
        </w:rPr>
        <w:t xml:space="preserve">aşağıdaki oranlarda </w:t>
      </w:r>
      <w:proofErr w:type="spellStart"/>
      <w:r>
        <w:rPr>
          <w:rFonts w:ascii="Times New Roman" w:hAnsi="Times New Roman" w:cs="Times New Roman"/>
          <w:color w:val="000000"/>
          <w:sz w:val="22"/>
          <w:szCs w:val="22"/>
        </w:rPr>
        <w:t>tevkifat</w:t>
      </w:r>
      <w:proofErr w:type="spellEnd"/>
      <w:r>
        <w:rPr>
          <w:rFonts w:ascii="Times New Roman" w:hAnsi="Times New Roman" w:cs="Times New Roman"/>
          <w:color w:val="000000"/>
          <w:sz w:val="22"/>
          <w:szCs w:val="22"/>
        </w:rPr>
        <w:t xml:space="preserve"> yapılacaktır:</w:t>
      </w:r>
    </w:p>
    <w:tbl>
      <w:tblPr>
        <w:tblStyle w:val="TableGrid"/>
        <w:tblW w:w="0" w:type="auto"/>
        <w:tblInd w:w="1388" w:type="dxa"/>
        <w:tblLook w:val="04A0" w:firstRow="1" w:lastRow="0" w:firstColumn="1" w:lastColumn="0" w:noHBand="0" w:noVBand="1"/>
      </w:tblPr>
      <w:tblGrid>
        <w:gridCol w:w="4606"/>
        <w:gridCol w:w="730"/>
      </w:tblGrid>
      <w:tr w:rsidR="0017722A" w:rsidTr="0054425D">
        <w:tc>
          <w:tcPr>
            <w:tcW w:w="4606" w:type="dxa"/>
          </w:tcPr>
          <w:p w:rsidR="0017722A" w:rsidRDefault="0017722A" w:rsidP="0017722A">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Vadesiz</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ihbarlı</w:t>
            </w:r>
            <w:r>
              <w:rPr>
                <w:rFonts w:ascii="Times New Roman" w:hAnsi="Times New Roman" w:cs="Times New Roman"/>
                <w:color w:val="000000"/>
                <w:sz w:val="22"/>
                <w:szCs w:val="22"/>
              </w:rPr>
              <w:t xml:space="preserve"> ve özel cari</w:t>
            </w:r>
            <w:r>
              <w:rPr>
                <w:rFonts w:ascii="Times New Roman" w:hAnsi="Times New Roman" w:cs="Times New Roman"/>
                <w:color w:val="000000"/>
                <w:sz w:val="22"/>
                <w:szCs w:val="22"/>
              </w:rPr>
              <w:t xml:space="preserve"> hesaplar ile 6 aya kadar (6 ay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vadeli hesaplarda</w:t>
            </w:r>
          </w:p>
        </w:tc>
        <w:tc>
          <w:tcPr>
            <w:tcW w:w="730"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%15</w:t>
            </w:r>
          </w:p>
        </w:tc>
      </w:tr>
      <w:tr w:rsidR="0017722A" w:rsidTr="0054425D">
        <w:tc>
          <w:tcPr>
            <w:tcW w:w="4606"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 yıla kadar (1 yıl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vadeli hesaplarda</w:t>
            </w:r>
          </w:p>
        </w:tc>
        <w:tc>
          <w:tcPr>
            <w:tcW w:w="730"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w:t>
            </w:r>
          </w:p>
        </w:tc>
      </w:tr>
      <w:tr w:rsidR="0017722A" w:rsidTr="0054425D">
        <w:tc>
          <w:tcPr>
            <w:tcW w:w="4606"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yıldan uzun vadeli hesaplarda</w:t>
            </w:r>
          </w:p>
        </w:tc>
        <w:tc>
          <w:tcPr>
            <w:tcW w:w="730" w:type="dxa"/>
          </w:tcPr>
          <w:p w:rsidR="0017722A" w:rsidRDefault="0017722A" w:rsidP="0054425D">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%10</w:t>
            </w:r>
          </w:p>
        </w:tc>
      </w:tr>
    </w:tbl>
    <w:p w:rsidR="00BF2A1F" w:rsidRDefault="00A74FD1" w:rsidP="00044253">
      <w:pPr>
        <w:pStyle w:val="NormalWeb"/>
        <w:numPr>
          <w:ilvl w:val="0"/>
          <w:numId w:val="48"/>
        </w:numPr>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Söz konusu değişiklikler, </w:t>
      </w:r>
      <w:r w:rsidR="00044253">
        <w:rPr>
          <w:rFonts w:ascii="Times New Roman" w:hAnsi="Times New Roman" w:cs="Times New Roman"/>
          <w:color w:val="000000"/>
          <w:sz w:val="22"/>
          <w:szCs w:val="22"/>
        </w:rPr>
        <w:t>01.01.2013 tarihini izleyen günden itibaren vadesiz ve özel cari hesaplara ödenecek faizler ve kar payları ile bu tarihten itibaren açılan veya vadesi yenilenen vadeli hesaplara ödenecek faizler ve kar payları üzerinden uygulanacaktır.</w:t>
      </w:r>
    </w:p>
    <w:p w:rsidR="00044253" w:rsidRDefault="00044253" w:rsidP="00044253">
      <w:pPr>
        <w:pStyle w:val="NormalWeb"/>
        <w:shd w:val="clear" w:color="auto" w:fill="FFFFFF"/>
        <w:spacing w:line="240" w:lineRule="auto"/>
        <w:ind w:left="720"/>
        <w:jc w:val="both"/>
        <w:rPr>
          <w:rFonts w:ascii="Times New Roman" w:hAnsi="Times New Roman" w:cs="Times New Roman"/>
          <w:color w:val="000000"/>
          <w:sz w:val="22"/>
          <w:szCs w:val="22"/>
        </w:rPr>
      </w:pPr>
    </w:p>
    <w:p w:rsidR="00044253" w:rsidRPr="0079643E" w:rsidRDefault="00044253" w:rsidP="00044253">
      <w:pPr>
        <w:pStyle w:val="NormalWeb"/>
        <w:shd w:val="clear" w:color="auto" w:fill="FFFFFF"/>
        <w:jc w:val="both"/>
        <w:rPr>
          <w:rFonts w:ascii="Times New Roman" w:hAnsi="Times New Roman" w:cs="Times New Roman"/>
          <w:i/>
          <w:color w:val="000000"/>
          <w:sz w:val="22"/>
          <w:szCs w:val="22"/>
        </w:rPr>
      </w:pPr>
      <w:r>
        <w:rPr>
          <w:rFonts w:ascii="Times New Roman" w:hAnsi="Times New Roman" w:cs="Times New Roman"/>
          <w:i/>
          <w:color w:val="000000"/>
          <w:sz w:val="22"/>
          <w:szCs w:val="22"/>
        </w:rPr>
        <w:t>Katma Değer Vergisi</w:t>
      </w:r>
      <w:r w:rsidRPr="0079643E">
        <w:rPr>
          <w:rFonts w:ascii="Times New Roman" w:hAnsi="Times New Roman" w:cs="Times New Roman"/>
          <w:i/>
          <w:color w:val="000000"/>
          <w:sz w:val="22"/>
          <w:szCs w:val="22"/>
        </w:rPr>
        <w:t xml:space="preserve"> Kanunu:</w:t>
      </w:r>
    </w:p>
    <w:p w:rsidR="00044253" w:rsidRDefault="00044253" w:rsidP="00044253">
      <w:pPr>
        <w:pStyle w:val="NormalWeb"/>
        <w:numPr>
          <w:ilvl w:val="0"/>
          <w:numId w:val="48"/>
        </w:numPr>
        <w:shd w:val="clear" w:color="auto" w:fill="FFFFFF"/>
        <w:spacing w:before="0" w:line="240" w:lineRule="auto"/>
        <w:jc w:val="both"/>
        <w:rPr>
          <w:rFonts w:ascii="Times New Roman" w:hAnsi="Times New Roman" w:cs="Times New Roman"/>
          <w:color w:val="000000"/>
          <w:sz w:val="22"/>
          <w:szCs w:val="22"/>
        </w:rPr>
      </w:pPr>
      <w:bookmarkStart w:id="0" w:name="_GoBack"/>
      <w:r>
        <w:rPr>
          <w:rFonts w:ascii="Times New Roman" w:hAnsi="Times New Roman" w:cs="Times New Roman"/>
          <w:color w:val="000000"/>
          <w:sz w:val="22"/>
          <w:szCs w:val="22"/>
        </w:rPr>
        <w:t xml:space="preserve">30.12.2007 tarihli ve </w:t>
      </w:r>
      <w:r w:rsidRPr="00044253">
        <w:rPr>
          <w:rFonts w:ascii="Times New Roman" w:hAnsi="Times New Roman" w:cs="Times New Roman"/>
          <w:color w:val="000000"/>
          <w:sz w:val="22"/>
          <w:szCs w:val="22"/>
        </w:rPr>
        <w:t>2007/13033</w:t>
      </w:r>
      <w:r>
        <w:rPr>
          <w:rFonts w:ascii="Times New Roman" w:hAnsi="Times New Roman" w:cs="Times New Roman"/>
          <w:color w:val="000000"/>
          <w:sz w:val="22"/>
          <w:szCs w:val="22"/>
        </w:rPr>
        <w:t xml:space="preserve"> sayılı Bakanlar Kurulu Kararı’na aşağıdaki fıkra eklenmiştir:</w:t>
      </w:r>
    </w:p>
    <w:p w:rsidR="00044253" w:rsidRDefault="00044253" w:rsidP="00044253">
      <w:pPr>
        <w:pStyle w:val="NormalWeb"/>
        <w:numPr>
          <w:ilvl w:val="1"/>
          <w:numId w:val="48"/>
        </w:numPr>
        <w:shd w:val="clear" w:color="auto" w:fill="FFFFFF"/>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Net alanı 150 m</w:t>
      </w:r>
      <w:r w:rsidRPr="00044253">
        <w:rPr>
          <w:rFonts w:ascii="Times New Roman" w:hAnsi="Times New Roman" w:cs="Times New Roman"/>
          <w:color w:val="000000"/>
          <w:sz w:val="22"/>
          <w:szCs w:val="22"/>
          <w:vertAlign w:val="superscript"/>
        </w:rPr>
        <w:t>2</w:t>
      </w:r>
      <w:r>
        <w:rPr>
          <w:rFonts w:ascii="Times New Roman" w:hAnsi="Times New Roman" w:cs="Times New Roman"/>
          <w:color w:val="000000"/>
          <w:sz w:val="22"/>
          <w:szCs w:val="22"/>
        </w:rPr>
        <w:t xml:space="preserve">’ye kadar konutlardan, büyükşehirlerde, lüks veya 1. sınıf inşaat olarak yapılan ve ruhsatlarının sonradan revize edilip inşaat kalitesinin yükseltilmesi hali de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xml:space="preserve"> olmak üzere, yapı ruhsatlarının alındığı tarihte, üzerine yapılan arsanın tespit edilen arsa birim m</w:t>
      </w:r>
      <w:r w:rsidRPr="00044253">
        <w:rPr>
          <w:rFonts w:ascii="Times New Roman" w:hAnsi="Times New Roman" w:cs="Times New Roman"/>
          <w:color w:val="000000"/>
          <w:sz w:val="22"/>
          <w:szCs w:val="22"/>
          <w:vertAlign w:val="superscript"/>
        </w:rPr>
        <w:t>2</w:t>
      </w:r>
      <w:r>
        <w:rPr>
          <w:rFonts w:ascii="Times New Roman" w:hAnsi="Times New Roman" w:cs="Times New Roman"/>
          <w:color w:val="000000"/>
          <w:sz w:val="22"/>
          <w:szCs w:val="22"/>
        </w:rPr>
        <w:t xml:space="preserve"> emlak vergisi değeri;</w:t>
      </w:r>
    </w:p>
    <w:p w:rsidR="00044253" w:rsidRDefault="00044253" w:rsidP="00044253">
      <w:pPr>
        <w:pStyle w:val="NormalWeb"/>
        <w:numPr>
          <w:ilvl w:val="2"/>
          <w:numId w:val="48"/>
        </w:numPr>
        <w:shd w:val="clear" w:color="auto" w:fill="FFFFFF"/>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500 TL ile 1.000 TL arasında olan konutların tesliminde </w:t>
      </w:r>
      <w:r>
        <w:rPr>
          <w:rFonts w:ascii="Times New Roman" w:hAnsi="Times New Roman" w:cs="Times New Roman"/>
          <w:b/>
          <w:color w:val="000000"/>
          <w:sz w:val="22"/>
          <w:szCs w:val="22"/>
        </w:rPr>
        <w:t>%8</w:t>
      </w:r>
      <w:r>
        <w:rPr>
          <w:rFonts w:ascii="Times New Roman" w:hAnsi="Times New Roman" w:cs="Times New Roman"/>
          <w:color w:val="000000"/>
          <w:sz w:val="22"/>
          <w:szCs w:val="22"/>
        </w:rPr>
        <w:t>,</w:t>
      </w:r>
    </w:p>
    <w:p w:rsidR="00044253" w:rsidRDefault="00044253" w:rsidP="00044253">
      <w:pPr>
        <w:pStyle w:val="NormalWeb"/>
        <w:numPr>
          <w:ilvl w:val="2"/>
          <w:numId w:val="48"/>
        </w:numPr>
        <w:shd w:val="clear" w:color="auto" w:fill="FFFFFF"/>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1.000 TL ve üzerinde olan konutların tesliminde </w:t>
      </w:r>
      <w:r>
        <w:rPr>
          <w:rFonts w:ascii="Times New Roman" w:hAnsi="Times New Roman" w:cs="Times New Roman"/>
          <w:b/>
          <w:color w:val="000000"/>
          <w:sz w:val="22"/>
          <w:szCs w:val="22"/>
        </w:rPr>
        <w:t>%18</w:t>
      </w:r>
    </w:p>
    <w:p w:rsidR="00044253" w:rsidRDefault="00044253" w:rsidP="00044253">
      <w:pPr>
        <w:pStyle w:val="NormalWeb"/>
        <w:numPr>
          <w:ilvl w:val="1"/>
          <w:numId w:val="48"/>
        </w:numPr>
        <w:shd w:val="clear" w:color="auto" w:fill="FFFFFF"/>
        <w:spacing w:before="0" w:line="240"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oranında</w:t>
      </w:r>
      <w:proofErr w:type="gramEnd"/>
      <w:r>
        <w:rPr>
          <w:rFonts w:ascii="Times New Roman" w:hAnsi="Times New Roman" w:cs="Times New Roman"/>
          <w:color w:val="000000"/>
          <w:sz w:val="22"/>
          <w:szCs w:val="22"/>
        </w:rPr>
        <w:t xml:space="preserve"> KDV uygulanır.</w:t>
      </w:r>
    </w:p>
    <w:p w:rsidR="00A74FD1" w:rsidRDefault="00A74FD1" w:rsidP="00A74FD1">
      <w:pPr>
        <w:pStyle w:val="NormalWeb"/>
        <w:numPr>
          <w:ilvl w:val="0"/>
          <w:numId w:val="48"/>
        </w:numPr>
        <w:shd w:val="clear" w:color="auto" w:fill="FFFFFF"/>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Söz konusu değişiklik, yapı ruhsatı 01.01.2013 tarihinden itibaren alınan konut inşaatı projelerine ilişkin konut teslimlerinde uygulanacaktır. </w:t>
      </w:r>
    </w:p>
    <w:bookmarkEnd w:id="0"/>
    <w:p w:rsidR="00A74FD1" w:rsidRDefault="00A74FD1" w:rsidP="00A74FD1">
      <w:pPr>
        <w:pStyle w:val="NormalWeb"/>
        <w:shd w:val="clear" w:color="auto" w:fill="FFFFFF"/>
        <w:spacing w:before="0" w:line="240" w:lineRule="auto"/>
        <w:jc w:val="both"/>
        <w:rPr>
          <w:rFonts w:ascii="Times New Roman" w:hAnsi="Times New Roman" w:cs="Times New Roman"/>
          <w:color w:val="000000"/>
          <w:sz w:val="22"/>
          <w:szCs w:val="22"/>
        </w:rPr>
      </w:pPr>
    </w:p>
    <w:p w:rsidR="00A74FD1" w:rsidRPr="00A74FD1" w:rsidRDefault="00A74FD1" w:rsidP="00A74FD1">
      <w:pPr>
        <w:pStyle w:val="NormalWeb"/>
        <w:shd w:val="clear" w:color="auto" w:fill="FFFFFF"/>
        <w:spacing w:before="0" w:line="240" w:lineRule="auto"/>
        <w:jc w:val="both"/>
        <w:rPr>
          <w:rFonts w:ascii="Times New Roman" w:hAnsi="Times New Roman" w:cs="Times New Roman"/>
          <w:i/>
          <w:color w:val="000000"/>
          <w:sz w:val="22"/>
          <w:szCs w:val="22"/>
        </w:rPr>
      </w:pPr>
      <w:r>
        <w:rPr>
          <w:rFonts w:ascii="Times New Roman" w:hAnsi="Times New Roman" w:cs="Times New Roman"/>
          <w:i/>
          <w:color w:val="000000"/>
          <w:sz w:val="22"/>
          <w:szCs w:val="22"/>
        </w:rPr>
        <w:t>Kaynak Kullanımı Destekleme Fonu</w:t>
      </w:r>
      <w:r w:rsidRPr="00A74FD1">
        <w:rPr>
          <w:rFonts w:ascii="Times New Roman" w:hAnsi="Times New Roman" w:cs="Times New Roman"/>
          <w:i/>
          <w:color w:val="000000"/>
          <w:sz w:val="22"/>
          <w:szCs w:val="22"/>
        </w:rPr>
        <w:t>:</w:t>
      </w:r>
    </w:p>
    <w:p w:rsidR="00044253" w:rsidRDefault="00A74FD1" w:rsidP="00A74FD1">
      <w:pPr>
        <w:pStyle w:val="NormalWeb"/>
        <w:numPr>
          <w:ilvl w:val="0"/>
          <w:numId w:val="49"/>
        </w:numPr>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Bankalar ve finansman şirketleri dışında Türkiye’de yerleşik kişilerin yurtdışından sağladıkları döviz ve altın kredilerde (</w:t>
      </w:r>
      <w:proofErr w:type="spellStart"/>
      <w:r>
        <w:rPr>
          <w:rFonts w:ascii="Times New Roman" w:hAnsi="Times New Roman" w:cs="Times New Roman"/>
          <w:color w:val="000000"/>
          <w:sz w:val="22"/>
          <w:szCs w:val="22"/>
        </w:rPr>
        <w:t>fiduciary</w:t>
      </w:r>
      <w:proofErr w:type="spellEnd"/>
      <w:r>
        <w:rPr>
          <w:rFonts w:ascii="Times New Roman" w:hAnsi="Times New Roman" w:cs="Times New Roman"/>
          <w:color w:val="000000"/>
          <w:sz w:val="22"/>
          <w:szCs w:val="22"/>
        </w:rPr>
        <w:t xml:space="preserve"> işlemler hariç) uygulanan KKDF oranı ortalama vadesi 1 yıldan kısa krediler için %3, diğerleri için %0 uygulanırken, aşağıdaki şekilde değiştirilmiştir:</w:t>
      </w:r>
    </w:p>
    <w:tbl>
      <w:tblPr>
        <w:tblStyle w:val="TableGrid"/>
        <w:tblW w:w="0" w:type="auto"/>
        <w:tblInd w:w="720" w:type="dxa"/>
        <w:tblLook w:val="04A0" w:firstRow="1" w:lastRow="0" w:firstColumn="1" w:lastColumn="0" w:noHBand="0" w:noVBand="1"/>
      </w:tblPr>
      <w:tblGrid>
        <w:gridCol w:w="5477"/>
        <w:gridCol w:w="675"/>
      </w:tblGrid>
      <w:tr w:rsidR="00A74FD1" w:rsidTr="00A74FD1">
        <w:tc>
          <w:tcPr>
            <w:tcW w:w="5477" w:type="dxa"/>
          </w:tcPr>
          <w:p w:rsidR="00A74FD1" w:rsidRDefault="00A74FD1" w:rsidP="00A74FD1">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Ortalama vadesi 1 yıla kadar olanlarda</w:t>
            </w:r>
          </w:p>
        </w:tc>
        <w:tc>
          <w:tcPr>
            <w:tcW w:w="620" w:type="dxa"/>
          </w:tcPr>
          <w:p w:rsidR="00A74FD1" w:rsidRDefault="00A74FD1" w:rsidP="00A74FD1">
            <w:pPr>
              <w:pStyle w:val="NormalWeb"/>
              <w:spacing w:before="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r w:rsidR="00A74FD1" w:rsidTr="00A74FD1">
        <w:tc>
          <w:tcPr>
            <w:tcW w:w="5477" w:type="dxa"/>
          </w:tcPr>
          <w:p w:rsidR="00A74FD1" w:rsidRDefault="00A74FD1" w:rsidP="00A74FD1">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Ortalama vadesi 1 yıl (1 yıl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xml:space="preserve">) 2 yıl arasında olanlarda </w:t>
            </w:r>
          </w:p>
        </w:tc>
        <w:tc>
          <w:tcPr>
            <w:tcW w:w="620" w:type="dxa"/>
          </w:tcPr>
          <w:p w:rsidR="00A74FD1" w:rsidRDefault="00A74FD1" w:rsidP="00A74FD1">
            <w:pPr>
              <w:pStyle w:val="NormalWeb"/>
              <w:spacing w:before="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r>
      <w:tr w:rsidR="00A74FD1" w:rsidTr="00A74FD1">
        <w:tc>
          <w:tcPr>
            <w:tcW w:w="5477" w:type="dxa"/>
          </w:tcPr>
          <w:p w:rsidR="00A74FD1" w:rsidRDefault="00A74FD1" w:rsidP="00A74FD1">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Ortalama vadesi </w:t>
            </w:r>
            <w:r>
              <w:rPr>
                <w:rFonts w:ascii="Times New Roman" w:hAnsi="Times New Roman" w:cs="Times New Roman"/>
                <w:color w:val="000000"/>
                <w:sz w:val="22"/>
                <w:szCs w:val="22"/>
              </w:rPr>
              <w:t>2</w:t>
            </w:r>
            <w:r>
              <w:rPr>
                <w:rFonts w:ascii="Times New Roman" w:hAnsi="Times New Roman" w:cs="Times New Roman"/>
                <w:color w:val="000000"/>
                <w:sz w:val="22"/>
                <w:szCs w:val="22"/>
              </w:rPr>
              <w:t xml:space="preserve"> yıl (</w:t>
            </w:r>
            <w:r>
              <w:rPr>
                <w:rFonts w:ascii="Times New Roman" w:hAnsi="Times New Roman" w:cs="Times New Roman"/>
                <w:color w:val="000000"/>
                <w:sz w:val="22"/>
                <w:szCs w:val="22"/>
              </w:rPr>
              <w:t>2</w:t>
            </w:r>
            <w:r>
              <w:rPr>
                <w:rFonts w:ascii="Times New Roman" w:hAnsi="Times New Roman" w:cs="Times New Roman"/>
                <w:color w:val="000000"/>
                <w:sz w:val="22"/>
                <w:szCs w:val="22"/>
              </w:rPr>
              <w:t xml:space="preserve"> yıl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3</w:t>
            </w:r>
            <w:r>
              <w:rPr>
                <w:rFonts w:ascii="Times New Roman" w:hAnsi="Times New Roman" w:cs="Times New Roman"/>
                <w:color w:val="000000"/>
                <w:sz w:val="22"/>
                <w:szCs w:val="22"/>
              </w:rPr>
              <w:t xml:space="preserve"> yıl arasında olanlarda</w:t>
            </w:r>
          </w:p>
        </w:tc>
        <w:tc>
          <w:tcPr>
            <w:tcW w:w="620" w:type="dxa"/>
          </w:tcPr>
          <w:p w:rsidR="00A74FD1" w:rsidRDefault="00A74FD1" w:rsidP="00A74FD1">
            <w:pPr>
              <w:pStyle w:val="NormalWeb"/>
              <w:spacing w:before="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%0,5</w:t>
            </w:r>
          </w:p>
        </w:tc>
      </w:tr>
      <w:tr w:rsidR="00A74FD1" w:rsidTr="00A74FD1">
        <w:tc>
          <w:tcPr>
            <w:tcW w:w="5477" w:type="dxa"/>
          </w:tcPr>
          <w:p w:rsidR="00A74FD1" w:rsidRDefault="00A74FD1" w:rsidP="00A74FD1">
            <w:pPr>
              <w:pStyle w:val="NormalWeb"/>
              <w:spacing w:before="0"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Ortalama vadesi </w:t>
            </w:r>
            <w:r>
              <w:rPr>
                <w:rFonts w:ascii="Times New Roman" w:hAnsi="Times New Roman" w:cs="Times New Roman"/>
                <w:color w:val="000000"/>
                <w:sz w:val="22"/>
                <w:szCs w:val="22"/>
              </w:rPr>
              <w:t>3</w:t>
            </w:r>
            <w:r>
              <w:rPr>
                <w:rFonts w:ascii="Times New Roman" w:hAnsi="Times New Roman" w:cs="Times New Roman"/>
                <w:color w:val="000000"/>
                <w:sz w:val="22"/>
                <w:szCs w:val="22"/>
              </w:rPr>
              <w:t xml:space="preserve"> yıl (</w:t>
            </w:r>
            <w:r>
              <w:rPr>
                <w:rFonts w:ascii="Times New Roman" w:hAnsi="Times New Roman" w:cs="Times New Roman"/>
                <w:color w:val="000000"/>
                <w:sz w:val="22"/>
                <w:szCs w:val="22"/>
              </w:rPr>
              <w:t>3</w:t>
            </w:r>
            <w:r>
              <w:rPr>
                <w:rFonts w:ascii="Times New Roman" w:hAnsi="Times New Roman" w:cs="Times New Roman"/>
                <w:color w:val="000000"/>
                <w:sz w:val="22"/>
                <w:szCs w:val="22"/>
              </w:rPr>
              <w:t xml:space="preserve"> yıl </w:t>
            </w:r>
            <w:proofErr w:type="gramStart"/>
            <w:r>
              <w:rPr>
                <w:rFonts w:ascii="Times New Roman" w:hAnsi="Times New Roman" w:cs="Times New Roman"/>
                <w:color w:val="000000"/>
                <w:sz w:val="22"/>
                <w:szCs w:val="22"/>
              </w:rPr>
              <w:t>dahil</w:t>
            </w:r>
            <w:proofErr w:type="gramEnd"/>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ve üzerinde</w:t>
            </w:r>
            <w:r>
              <w:rPr>
                <w:rFonts w:ascii="Times New Roman" w:hAnsi="Times New Roman" w:cs="Times New Roman"/>
                <w:color w:val="000000"/>
                <w:sz w:val="22"/>
                <w:szCs w:val="22"/>
              </w:rPr>
              <w:t xml:space="preserve"> olanlarda</w:t>
            </w:r>
          </w:p>
        </w:tc>
        <w:tc>
          <w:tcPr>
            <w:tcW w:w="620" w:type="dxa"/>
          </w:tcPr>
          <w:p w:rsidR="00A74FD1" w:rsidRDefault="00A74FD1" w:rsidP="00A74FD1">
            <w:pPr>
              <w:pStyle w:val="NormalWeb"/>
              <w:spacing w:before="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r>
    </w:tbl>
    <w:p w:rsidR="00A74FD1" w:rsidRDefault="00A74FD1" w:rsidP="00A74FD1">
      <w:pPr>
        <w:pStyle w:val="NormalWeb"/>
        <w:numPr>
          <w:ilvl w:val="0"/>
          <w:numId w:val="49"/>
        </w:numPr>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Söz konusu değişiklik 02.01.2013 tarihinden itibaren kullanılacak krediler için uygulanacaktır. </w:t>
      </w:r>
    </w:p>
    <w:p w:rsidR="00044253" w:rsidRDefault="00044253" w:rsidP="00A23BF1">
      <w:pPr>
        <w:pStyle w:val="NormalWeb"/>
        <w:shd w:val="clear" w:color="auto" w:fill="FFFFFF"/>
        <w:spacing w:line="240" w:lineRule="auto"/>
        <w:jc w:val="both"/>
        <w:rPr>
          <w:rFonts w:ascii="Times New Roman" w:hAnsi="Times New Roman" w:cs="Times New Roman"/>
          <w:color w:val="000000"/>
          <w:sz w:val="22"/>
          <w:szCs w:val="22"/>
        </w:rPr>
      </w:pPr>
    </w:p>
    <w:p w:rsidR="005F6332" w:rsidRDefault="00A23BF1" w:rsidP="00A23BF1">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Saygılarımızla,</w:t>
      </w:r>
    </w:p>
    <w:sectPr w:rsidR="005F63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C9" w:rsidRDefault="00CA65C9" w:rsidP="00A71FB3">
      <w:r>
        <w:separator/>
      </w:r>
    </w:p>
  </w:endnote>
  <w:endnote w:type="continuationSeparator" w:id="0">
    <w:p w:rsidR="00CA65C9" w:rsidRDefault="00CA65C9"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8070000" w:usb2="0100041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C9" w:rsidRDefault="00CA65C9" w:rsidP="00A71FB3">
      <w:r>
        <w:separator/>
      </w:r>
    </w:p>
  </w:footnote>
  <w:footnote w:type="continuationSeparator" w:id="0">
    <w:p w:rsidR="00CA65C9" w:rsidRDefault="00CA65C9"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2400080"/>
    <w:multiLevelType w:val="hybridMultilevel"/>
    <w:tmpl w:val="A4864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5C7EFA"/>
    <w:multiLevelType w:val="hybridMultilevel"/>
    <w:tmpl w:val="4F4ECD30"/>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7F5B27"/>
    <w:multiLevelType w:val="hybridMultilevel"/>
    <w:tmpl w:val="6E4CD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FDA174D"/>
    <w:multiLevelType w:val="hybridMultilevel"/>
    <w:tmpl w:val="FAF8C51C"/>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0A0976"/>
    <w:multiLevelType w:val="hybridMultilevel"/>
    <w:tmpl w:val="0E649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9DC264A"/>
    <w:multiLevelType w:val="hybridMultilevel"/>
    <w:tmpl w:val="F404F1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36564131"/>
    <w:multiLevelType w:val="hybridMultilevel"/>
    <w:tmpl w:val="32DEF5D8"/>
    <w:lvl w:ilvl="0" w:tplc="A7225D06">
      <w:start w:val="30"/>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39A06366"/>
    <w:multiLevelType w:val="hybridMultilevel"/>
    <w:tmpl w:val="FF4C9F76"/>
    <w:lvl w:ilvl="0" w:tplc="14880BFC">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23356AE"/>
    <w:multiLevelType w:val="hybridMultilevel"/>
    <w:tmpl w:val="47642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5B56312"/>
    <w:multiLevelType w:val="hybridMultilevel"/>
    <w:tmpl w:val="DAC8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8EC50B1"/>
    <w:multiLevelType w:val="hybridMultilevel"/>
    <w:tmpl w:val="CA04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nsid w:val="512F4EB3"/>
    <w:multiLevelType w:val="hybridMultilevel"/>
    <w:tmpl w:val="EDF0B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61FD7367"/>
    <w:multiLevelType w:val="hybridMultilevel"/>
    <w:tmpl w:val="045A603C"/>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0FC3134"/>
    <w:multiLevelType w:val="hybridMultilevel"/>
    <w:tmpl w:val="9800D8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75754BF9"/>
    <w:multiLevelType w:val="hybridMultilevel"/>
    <w:tmpl w:val="AA9A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8940CBF"/>
    <w:multiLevelType w:val="hybridMultilevel"/>
    <w:tmpl w:val="ED0206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nsid w:val="7CDE2CB5"/>
    <w:multiLevelType w:val="hybridMultilevel"/>
    <w:tmpl w:val="9D46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7500DA"/>
    <w:multiLevelType w:val="hybridMultilevel"/>
    <w:tmpl w:val="ACD29D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26"/>
  </w:num>
  <w:num w:numId="4">
    <w:abstractNumId w:val="7"/>
  </w:num>
  <w:num w:numId="5">
    <w:abstractNumId w:val="15"/>
  </w:num>
  <w:num w:numId="6">
    <w:abstractNumId w:val="16"/>
  </w:num>
  <w:num w:numId="7">
    <w:abstractNumId w:val="13"/>
  </w:num>
  <w:num w:numId="8">
    <w:abstractNumId w:val="27"/>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8"/>
  </w:num>
  <w:num w:numId="12">
    <w:abstractNumId w:val="2"/>
  </w:num>
  <w:num w:numId="13">
    <w:abstractNumId w:val="6"/>
  </w:num>
  <w:num w:numId="14">
    <w:abstractNumId w:val="23"/>
  </w:num>
  <w:num w:numId="15">
    <w:abstractNumId w:val="24"/>
  </w:num>
  <w:num w:numId="16">
    <w:abstractNumId w:val="34"/>
  </w:num>
  <w:num w:numId="17">
    <w:abstractNumId w:val="30"/>
  </w:num>
  <w:num w:numId="18">
    <w:abstractNumId w:val="30"/>
  </w:num>
  <w:num w:numId="19">
    <w:abstractNumId w:val="37"/>
  </w:num>
  <w:num w:numId="20">
    <w:abstractNumId w:val="45"/>
  </w:num>
  <w:num w:numId="21">
    <w:abstractNumId w:val="19"/>
  </w:num>
  <w:num w:numId="22">
    <w:abstractNumId w:val="38"/>
  </w:num>
  <w:num w:numId="23">
    <w:abstractNumId w:val="0"/>
  </w:num>
  <w:num w:numId="24">
    <w:abstractNumId w:val="33"/>
  </w:num>
  <w:num w:numId="25">
    <w:abstractNumId w:val="11"/>
  </w:num>
  <w:num w:numId="26">
    <w:abstractNumId w:val="31"/>
  </w:num>
  <w:num w:numId="27">
    <w:abstractNumId w:val="36"/>
  </w:num>
  <w:num w:numId="28">
    <w:abstractNumId w:val="3"/>
  </w:num>
  <w:num w:numId="29">
    <w:abstractNumId w:val="12"/>
  </w:num>
  <w:num w:numId="30">
    <w:abstractNumId w:val="20"/>
  </w:num>
  <w:num w:numId="31">
    <w:abstractNumId w:val="39"/>
  </w:num>
  <w:num w:numId="32">
    <w:abstractNumId w:val="25"/>
  </w:num>
  <w:num w:numId="33">
    <w:abstractNumId w:val="5"/>
  </w:num>
  <w:num w:numId="34">
    <w:abstractNumId w:val="14"/>
  </w:num>
  <w:num w:numId="35">
    <w:abstractNumId w:val="22"/>
  </w:num>
  <w:num w:numId="36">
    <w:abstractNumId w:val="43"/>
  </w:num>
  <w:num w:numId="37">
    <w:abstractNumId w:val="18"/>
  </w:num>
  <w:num w:numId="38">
    <w:abstractNumId w:val="44"/>
  </w:num>
  <w:num w:numId="39">
    <w:abstractNumId w:val="17"/>
  </w:num>
  <w:num w:numId="40">
    <w:abstractNumId w:val="29"/>
  </w:num>
  <w:num w:numId="41">
    <w:abstractNumId w:val="40"/>
  </w:num>
  <w:num w:numId="42">
    <w:abstractNumId w:val="21"/>
  </w:num>
  <w:num w:numId="43">
    <w:abstractNumId w:val="1"/>
  </w:num>
  <w:num w:numId="44">
    <w:abstractNumId w:val="8"/>
  </w:num>
  <w:num w:numId="45">
    <w:abstractNumId w:val="35"/>
  </w:num>
  <w:num w:numId="46">
    <w:abstractNumId w:val="9"/>
  </w:num>
  <w:num w:numId="47">
    <w:abstractNumId w:val="4"/>
  </w:num>
  <w:num w:numId="48">
    <w:abstractNumId w:val="4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44253"/>
    <w:rsid w:val="00045AC6"/>
    <w:rsid w:val="000767D9"/>
    <w:rsid w:val="000875DE"/>
    <w:rsid w:val="000C00F9"/>
    <w:rsid w:val="000D344D"/>
    <w:rsid w:val="000D7A12"/>
    <w:rsid w:val="000E0BD3"/>
    <w:rsid w:val="000E5D39"/>
    <w:rsid w:val="00105516"/>
    <w:rsid w:val="0012546F"/>
    <w:rsid w:val="00145F2B"/>
    <w:rsid w:val="001715D1"/>
    <w:rsid w:val="001741ED"/>
    <w:rsid w:val="00176B2B"/>
    <w:rsid w:val="0017722A"/>
    <w:rsid w:val="001A2CF6"/>
    <w:rsid w:val="001A5E50"/>
    <w:rsid w:val="001D4E07"/>
    <w:rsid w:val="001E12C6"/>
    <w:rsid w:val="00217DF3"/>
    <w:rsid w:val="0024387D"/>
    <w:rsid w:val="00247E15"/>
    <w:rsid w:val="00261647"/>
    <w:rsid w:val="0027346A"/>
    <w:rsid w:val="00276B44"/>
    <w:rsid w:val="002772CC"/>
    <w:rsid w:val="002B005A"/>
    <w:rsid w:val="002D7C92"/>
    <w:rsid w:val="002E4631"/>
    <w:rsid w:val="00304985"/>
    <w:rsid w:val="00314250"/>
    <w:rsid w:val="003343C7"/>
    <w:rsid w:val="00334FEB"/>
    <w:rsid w:val="00340FA1"/>
    <w:rsid w:val="0034719D"/>
    <w:rsid w:val="003608B3"/>
    <w:rsid w:val="00363721"/>
    <w:rsid w:val="003642B5"/>
    <w:rsid w:val="00367E70"/>
    <w:rsid w:val="003A2A8F"/>
    <w:rsid w:val="003A5323"/>
    <w:rsid w:val="003B2991"/>
    <w:rsid w:val="003D418D"/>
    <w:rsid w:val="003E0E76"/>
    <w:rsid w:val="003E164A"/>
    <w:rsid w:val="003E4EF1"/>
    <w:rsid w:val="003F7A44"/>
    <w:rsid w:val="00403209"/>
    <w:rsid w:val="00404D5E"/>
    <w:rsid w:val="004057A2"/>
    <w:rsid w:val="00437188"/>
    <w:rsid w:val="004419D6"/>
    <w:rsid w:val="00444CBC"/>
    <w:rsid w:val="00453754"/>
    <w:rsid w:val="00465811"/>
    <w:rsid w:val="00482BF1"/>
    <w:rsid w:val="004B0787"/>
    <w:rsid w:val="00514B59"/>
    <w:rsid w:val="00534AE5"/>
    <w:rsid w:val="00537C03"/>
    <w:rsid w:val="0054054D"/>
    <w:rsid w:val="0054396F"/>
    <w:rsid w:val="00567821"/>
    <w:rsid w:val="00574848"/>
    <w:rsid w:val="00574E67"/>
    <w:rsid w:val="0058328B"/>
    <w:rsid w:val="0058466E"/>
    <w:rsid w:val="005C208C"/>
    <w:rsid w:val="005D0BE3"/>
    <w:rsid w:val="005E0CC0"/>
    <w:rsid w:val="005F08CA"/>
    <w:rsid w:val="005F5A5C"/>
    <w:rsid w:val="005F6332"/>
    <w:rsid w:val="00606DAD"/>
    <w:rsid w:val="00607AF0"/>
    <w:rsid w:val="00622887"/>
    <w:rsid w:val="006359D0"/>
    <w:rsid w:val="00643897"/>
    <w:rsid w:val="006600B1"/>
    <w:rsid w:val="006836E6"/>
    <w:rsid w:val="006A4B28"/>
    <w:rsid w:val="006D50BA"/>
    <w:rsid w:val="006F4199"/>
    <w:rsid w:val="00730C3E"/>
    <w:rsid w:val="00733095"/>
    <w:rsid w:val="007364C4"/>
    <w:rsid w:val="00777C75"/>
    <w:rsid w:val="00794604"/>
    <w:rsid w:val="0079643E"/>
    <w:rsid w:val="007A0F57"/>
    <w:rsid w:val="007A4519"/>
    <w:rsid w:val="007A5F1B"/>
    <w:rsid w:val="007B01E9"/>
    <w:rsid w:val="007C3A2C"/>
    <w:rsid w:val="007D60E1"/>
    <w:rsid w:val="007D7FC8"/>
    <w:rsid w:val="007E063C"/>
    <w:rsid w:val="007E27E1"/>
    <w:rsid w:val="007E40F0"/>
    <w:rsid w:val="007E5E09"/>
    <w:rsid w:val="008045F7"/>
    <w:rsid w:val="00816B4A"/>
    <w:rsid w:val="008421C9"/>
    <w:rsid w:val="00885265"/>
    <w:rsid w:val="00892C9B"/>
    <w:rsid w:val="008A5BFD"/>
    <w:rsid w:val="008B5D6D"/>
    <w:rsid w:val="008D4477"/>
    <w:rsid w:val="008D719C"/>
    <w:rsid w:val="008F3B63"/>
    <w:rsid w:val="0094311B"/>
    <w:rsid w:val="00951DFE"/>
    <w:rsid w:val="009706CB"/>
    <w:rsid w:val="009740A5"/>
    <w:rsid w:val="0099092E"/>
    <w:rsid w:val="009916E0"/>
    <w:rsid w:val="00994CE3"/>
    <w:rsid w:val="009B7DB7"/>
    <w:rsid w:val="009C3843"/>
    <w:rsid w:val="009C789A"/>
    <w:rsid w:val="009D3684"/>
    <w:rsid w:val="009F6F09"/>
    <w:rsid w:val="00A012CA"/>
    <w:rsid w:val="00A039D9"/>
    <w:rsid w:val="00A117F8"/>
    <w:rsid w:val="00A12856"/>
    <w:rsid w:val="00A232B0"/>
    <w:rsid w:val="00A23BF1"/>
    <w:rsid w:val="00A46E5C"/>
    <w:rsid w:val="00A515E1"/>
    <w:rsid w:val="00A6782E"/>
    <w:rsid w:val="00A71FB3"/>
    <w:rsid w:val="00A74FD1"/>
    <w:rsid w:val="00A8305E"/>
    <w:rsid w:val="00A91BBD"/>
    <w:rsid w:val="00A965F8"/>
    <w:rsid w:val="00AA5255"/>
    <w:rsid w:val="00AB514A"/>
    <w:rsid w:val="00AC71AE"/>
    <w:rsid w:val="00AE48EF"/>
    <w:rsid w:val="00AE70E2"/>
    <w:rsid w:val="00AE7CF9"/>
    <w:rsid w:val="00AF137E"/>
    <w:rsid w:val="00AF6716"/>
    <w:rsid w:val="00AF7951"/>
    <w:rsid w:val="00B034F8"/>
    <w:rsid w:val="00B10C50"/>
    <w:rsid w:val="00B111A4"/>
    <w:rsid w:val="00B22999"/>
    <w:rsid w:val="00B30101"/>
    <w:rsid w:val="00B357E6"/>
    <w:rsid w:val="00B4725D"/>
    <w:rsid w:val="00B47A69"/>
    <w:rsid w:val="00B5240A"/>
    <w:rsid w:val="00B53C98"/>
    <w:rsid w:val="00B55476"/>
    <w:rsid w:val="00B85436"/>
    <w:rsid w:val="00B85EC7"/>
    <w:rsid w:val="00B953BE"/>
    <w:rsid w:val="00BB0EBB"/>
    <w:rsid w:val="00BC543D"/>
    <w:rsid w:val="00BC55F2"/>
    <w:rsid w:val="00BF1D74"/>
    <w:rsid w:val="00BF2A1F"/>
    <w:rsid w:val="00C108A6"/>
    <w:rsid w:val="00C127C8"/>
    <w:rsid w:val="00C205B9"/>
    <w:rsid w:val="00C20CF2"/>
    <w:rsid w:val="00C22EC6"/>
    <w:rsid w:val="00C358AE"/>
    <w:rsid w:val="00C574AF"/>
    <w:rsid w:val="00C66262"/>
    <w:rsid w:val="00C708A4"/>
    <w:rsid w:val="00C865B8"/>
    <w:rsid w:val="00CA0243"/>
    <w:rsid w:val="00CA65C9"/>
    <w:rsid w:val="00CD0AF0"/>
    <w:rsid w:val="00CF3E3A"/>
    <w:rsid w:val="00CF5100"/>
    <w:rsid w:val="00CF516F"/>
    <w:rsid w:val="00D00E4B"/>
    <w:rsid w:val="00D03CEA"/>
    <w:rsid w:val="00D0466A"/>
    <w:rsid w:val="00D13666"/>
    <w:rsid w:val="00D247AC"/>
    <w:rsid w:val="00D42DD6"/>
    <w:rsid w:val="00D430D5"/>
    <w:rsid w:val="00D510A3"/>
    <w:rsid w:val="00D56A38"/>
    <w:rsid w:val="00D71BD1"/>
    <w:rsid w:val="00D7375B"/>
    <w:rsid w:val="00D773D6"/>
    <w:rsid w:val="00D80223"/>
    <w:rsid w:val="00D85B4F"/>
    <w:rsid w:val="00D87BE0"/>
    <w:rsid w:val="00D93F3F"/>
    <w:rsid w:val="00DB06EB"/>
    <w:rsid w:val="00DB1C20"/>
    <w:rsid w:val="00DB2862"/>
    <w:rsid w:val="00DB3345"/>
    <w:rsid w:val="00DD4A4E"/>
    <w:rsid w:val="00E02F33"/>
    <w:rsid w:val="00E22214"/>
    <w:rsid w:val="00E95686"/>
    <w:rsid w:val="00EA1EA2"/>
    <w:rsid w:val="00EA2153"/>
    <w:rsid w:val="00EC6B08"/>
    <w:rsid w:val="00EC6C91"/>
    <w:rsid w:val="00EE3342"/>
    <w:rsid w:val="00EE6AEB"/>
    <w:rsid w:val="00EF478B"/>
    <w:rsid w:val="00F04664"/>
    <w:rsid w:val="00F056AB"/>
    <w:rsid w:val="00F10D7A"/>
    <w:rsid w:val="00F15E8C"/>
    <w:rsid w:val="00F2259C"/>
    <w:rsid w:val="00F25846"/>
    <w:rsid w:val="00F37F1D"/>
    <w:rsid w:val="00F40AE3"/>
    <w:rsid w:val="00F4367C"/>
    <w:rsid w:val="00F60EAB"/>
    <w:rsid w:val="00F662FD"/>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 w:type="table" w:styleId="TableGrid">
    <w:name w:val="Table Grid"/>
    <w:basedOn w:val="TableNormal"/>
    <w:uiPriority w:val="59"/>
    <w:rsid w:val="00796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 w:type="table" w:styleId="TableGrid">
    <w:name w:val="Table Grid"/>
    <w:basedOn w:val="TableNormal"/>
    <w:uiPriority w:val="59"/>
    <w:rsid w:val="00796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07819740">
      <w:bodyDiv w:val="1"/>
      <w:marLeft w:val="0"/>
      <w:marRight w:val="0"/>
      <w:marTop w:val="0"/>
      <w:marBottom w:val="0"/>
      <w:divBdr>
        <w:top w:val="none" w:sz="0" w:space="0" w:color="auto"/>
        <w:left w:val="none" w:sz="0" w:space="0" w:color="auto"/>
        <w:bottom w:val="none" w:sz="0" w:space="0" w:color="auto"/>
        <w:right w:val="none" w:sz="0" w:space="0" w:color="auto"/>
      </w:divBdr>
      <w:divsChild>
        <w:div w:id="448083595">
          <w:marLeft w:val="0"/>
          <w:marRight w:val="0"/>
          <w:marTop w:val="0"/>
          <w:marBottom w:val="0"/>
          <w:divBdr>
            <w:top w:val="single" w:sz="6" w:space="0" w:color="C8C9CA"/>
            <w:left w:val="single" w:sz="6" w:space="0" w:color="C8C9CA"/>
            <w:bottom w:val="single" w:sz="6" w:space="0" w:color="9E9E9E"/>
            <w:right w:val="single" w:sz="6" w:space="0" w:color="9E9E9E"/>
          </w:divBdr>
          <w:divsChild>
            <w:div w:id="611978345">
              <w:marLeft w:val="0"/>
              <w:marRight w:val="0"/>
              <w:marTop w:val="0"/>
              <w:marBottom w:val="0"/>
              <w:divBdr>
                <w:top w:val="none" w:sz="0" w:space="0" w:color="auto"/>
                <w:left w:val="none" w:sz="0" w:space="0" w:color="auto"/>
                <w:bottom w:val="none" w:sz="0" w:space="0" w:color="auto"/>
                <w:right w:val="none" w:sz="0" w:space="0" w:color="auto"/>
              </w:divBdr>
              <w:divsChild>
                <w:div w:id="999848399">
                  <w:marLeft w:val="0"/>
                  <w:marRight w:val="0"/>
                  <w:marTop w:val="0"/>
                  <w:marBottom w:val="0"/>
                  <w:divBdr>
                    <w:top w:val="none" w:sz="0" w:space="0" w:color="auto"/>
                    <w:left w:val="none" w:sz="0" w:space="0" w:color="auto"/>
                    <w:bottom w:val="none" w:sz="0" w:space="0" w:color="auto"/>
                    <w:right w:val="none" w:sz="0" w:space="0" w:color="auto"/>
                  </w:divBdr>
                  <w:divsChild>
                    <w:div w:id="847525800">
                      <w:marLeft w:val="0"/>
                      <w:marRight w:val="0"/>
                      <w:marTop w:val="0"/>
                      <w:marBottom w:val="0"/>
                      <w:divBdr>
                        <w:top w:val="none" w:sz="0" w:space="0" w:color="auto"/>
                        <w:left w:val="none" w:sz="0" w:space="0" w:color="auto"/>
                        <w:bottom w:val="none" w:sz="0" w:space="0" w:color="auto"/>
                        <w:right w:val="none" w:sz="0" w:space="0" w:color="auto"/>
                      </w:divBdr>
                      <w:divsChild>
                        <w:div w:id="1052844839">
                          <w:marLeft w:val="0"/>
                          <w:marRight w:val="0"/>
                          <w:marTop w:val="0"/>
                          <w:marBottom w:val="0"/>
                          <w:divBdr>
                            <w:top w:val="none" w:sz="0" w:space="0" w:color="auto"/>
                            <w:left w:val="none" w:sz="0" w:space="0" w:color="auto"/>
                            <w:bottom w:val="none" w:sz="0" w:space="0" w:color="auto"/>
                            <w:right w:val="none" w:sz="0" w:space="0" w:color="auto"/>
                          </w:divBdr>
                          <w:divsChild>
                            <w:div w:id="1708221068">
                              <w:marLeft w:val="0"/>
                              <w:marRight w:val="0"/>
                              <w:marTop w:val="0"/>
                              <w:marBottom w:val="0"/>
                              <w:divBdr>
                                <w:top w:val="none" w:sz="0" w:space="0" w:color="auto"/>
                                <w:left w:val="none" w:sz="0" w:space="0" w:color="auto"/>
                                <w:bottom w:val="none" w:sz="0" w:space="0" w:color="auto"/>
                                <w:right w:val="none" w:sz="0" w:space="0" w:color="auto"/>
                              </w:divBdr>
                              <w:divsChild>
                                <w:div w:id="980576109">
                                  <w:marLeft w:val="0"/>
                                  <w:marRight w:val="0"/>
                                  <w:marTop w:val="0"/>
                                  <w:marBottom w:val="0"/>
                                  <w:divBdr>
                                    <w:top w:val="none" w:sz="0" w:space="0" w:color="auto"/>
                                    <w:left w:val="none" w:sz="0" w:space="0" w:color="auto"/>
                                    <w:bottom w:val="none" w:sz="0" w:space="0" w:color="auto"/>
                                    <w:right w:val="none" w:sz="0" w:space="0" w:color="auto"/>
                                  </w:divBdr>
                                  <w:divsChild>
                                    <w:div w:id="668947216">
                                      <w:marLeft w:val="0"/>
                                      <w:marRight w:val="0"/>
                                      <w:marTop w:val="0"/>
                                      <w:marBottom w:val="0"/>
                                      <w:divBdr>
                                        <w:top w:val="single" w:sz="6" w:space="0" w:color="C8C9CA"/>
                                        <w:left w:val="single" w:sz="6" w:space="0" w:color="C8C9CA"/>
                                        <w:bottom w:val="single" w:sz="6" w:space="0" w:color="9E9E9E"/>
                                        <w:right w:val="single" w:sz="6" w:space="0" w:color="9E9E9E"/>
                                      </w:divBdr>
                                      <w:divsChild>
                                        <w:div w:id="199245619">
                                          <w:marLeft w:val="0"/>
                                          <w:marRight w:val="0"/>
                                          <w:marTop w:val="0"/>
                                          <w:marBottom w:val="0"/>
                                          <w:divBdr>
                                            <w:top w:val="none" w:sz="0" w:space="0" w:color="auto"/>
                                            <w:left w:val="none" w:sz="0" w:space="0" w:color="auto"/>
                                            <w:bottom w:val="none" w:sz="0" w:space="0" w:color="auto"/>
                                            <w:right w:val="none" w:sz="0" w:space="0" w:color="auto"/>
                                          </w:divBdr>
                                          <w:divsChild>
                                            <w:div w:id="193080787">
                                              <w:marLeft w:val="0"/>
                                              <w:marRight w:val="0"/>
                                              <w:marTop w:val="0"/>
                                              <w:marBottom w:val="0"/>
                                              <w:divBdr>
                                                <w:top w:val="none" w:sz="0" w:space="0" w:color="auto"/>
                                                <w:left w:val="none" w:sz="0" w:space="0" w:color="auto"/>
                                                <w:bottom w:val="none" w:sz="0" w:space="0" w:color="auto"/>
                                                <w:right w:val="none" w:sz="0" w:space="0" w:color="auto"/>
                                              </w:divBdr>
                                              <w:divsChild>
                                                <w:div w:id="965627426">
                                                  <w:marLeft w:val="0"/>
                                                  <w:marRight w:val="0"/>
                                                  <w:marTop w:val="0"/>
                                                  <w:marBottom w:val="0"/>
                                                  <w:divBdr>
                                                    <w:top w:val="none" w:sz="0" w:space="0" w:color="auto"/>
                                                    <w:left w:val="none" w:sz="0" w:space="0" w:color="auto"/>
                                                    <w:bottom w:val="none" w:sz="0" w:space="0" w:color="auto"/>
                                                    <w:right w:val="none" w:sz="0" w:space="0" w:color="auto"/>
                                                  </w:divBdr>
                                                  <w:divsChild>
                                                    <w:div w:id="569114825">
                                                      <w:marLeft w:val="0"/>
                                                      <w:marRight w:val="0"/>
                                                      <w:marTop w:val="0"/>
                                                      <w:marBottom w:val="0"/>
                                                      <w:divBdr>
                                                        <w:top w:val="none" w:sz="0" w:space="0" w:color="auto"/>
                                                        <w:left w:val="none" w:sz="0" w:space="0" w:color="auto"/>
                                                        <w:bottom w:val="none" w:sz="0" w:space="0" w:color="auto"/>
                                                        <w:right w:val="none" w:sz="0" w:space="0" w:color="auto"/>
                                                      </w:divBdr>
                                                      <w:divsChild>
                                                        <w:div w:id="13962432">
                                                          <w:marLeft w:val="0"/>
                                                          <w:marRight w:val="0"/>
                                                          <w:marTop w:val="0"/>
                                                          <w:marBottom w:val="0"/>
                                                          <w:divBdr>
                                                            <w:top w:val="none" w:sz="0" w:space="0" w:color="auto"/>
                                                            <w:left w:val="none" w:sz="0" w:space="0" w:color="auto"/>
                                                            <w:bottom w:val="none" w:sz="0" w:space="0" w:color="auto"/>
                                                            <w:right w:val="none" w:sz="0" w:space="0" w:color="auto"/>
                                                          </w:divBdr>
                                                          <w:divsChild>
                                                            <w:div w:id="114250758">
                                                              <w:marLeft w:val="0"/>
                                                              <w:marRight w:val="0"/>
                                                              <w:marTop w:val="0"/>
                                                              <w:marBottom w:val="0"/>
                                                              <w:divBdr>
                                                                <w:top w:val="none" w:sz="0" w:space="0" w:color="auto"/>
                                                                <w:left w:val="none" w:sz="0" w:space="0" w:color="auto"/>
                                                                <w:bottom w:val="none" w:sz="0" w:space="0" w:color="auto"/>
                                                                <w:right w:val="none" w:sz="0" w:space="0" w:color="auto"/>
                                                              </w:divBdr>
                                                              <w:divsChild>
                                                                <w:div w:id="321545013">
                                                                  <w:marLeft w:val="0"/>
                                                                  <w:marRight w:val="0"/>
                                                                  <w:marTop w:val="0"/>
                                                                  <w:marBottom w:val="0"/>
                                                                  <w:divBdr>
                                                                    <w:top w:val="none" w:sz="0" w:space="0" w:color="auto"/>
                                                                    <w:left w:val="none" w:sz="0" w:space="0" w:color="auto"/>
                                                                    <w:bottom w:val="none" w:sz="0" w:space="0" w:color="auto"/>
                                                                    <w:right w:val="none" w:sz="0" w:space="0" w:color="auto"/>
                                                                  </w:divBdr>
                                                                  <w:divsChild>
                                                                    <w:div w:id="2057583817">
                                                                      <w:marLeft w:val="0"/>
                                                                      <w:marRight w:val="0"/>
                                                                      <w:marTop w:val="0"/>
                                                                      <w:marBottom w:val="0"/>
                                                                      <w:divBdr>
                                                                        <w:top w:val="none" w:sz="0" w:space="0" w:color="auto"/>
                                                                        <w:left w:val="none" w:sz="0" w:space="0" w:color="auto"/>
                                                                        <w:bottom w:val="none" w:sz="0" w:space="0" w:color="auto"/>
                                                                        <w:right w:val="none" w:sz="0" w:space="0" w:color="auto"/>
                                                                      </w:divBdr>
                                                                      <w:divsChild>
                                                                        <w:div w:id="1119564079">
                                                                          <w:marLeft w:val="0"/>
                                                                          <w:marRight w:val="0"/>
                                                                          <w:marTop w:val="0"/>
                                                                          <w:marBottom w:val="0"/>
                                                                          <w:divBdr>
                                                                            <w:top w:val="none" w:sz="0" w:space="0" w:color="auto"/>
                                                                            <w:left w:val="none" w:sz="0" w:space="0" w:color="auto"/>
                                                                            <w:bottom w:val="none" w:sz="0" w:space="0" w:color="auto"/>
                                                                            <w:right w:val="none" w:sz="0" w:space="0" w:color="auto"/>
                                                                          </w:divBdr>
                                                                          <w:divsChild>
                                                                            <w:div w:id="1571577252">
                                                                              <w:marLeft w:val="0"/>
                                                                              <w:marRight w:val="0"/>
                                                                              <w:marTop w:val="0"/>
                                                                              <w:marBottom w:val="0"/>
                                                                              <w:divBdr>
                                                                                <w:top w:val="none" w:sz="0" w:space="0" w:color="auto"/>
                                                                                <w:left w:val="none" w:sz="0" w:space="0" w:color="auto"/>
                                                                                <w:bottom w:val="none" w:sz="0" w:space="0" w:color="auto"/>
                                                                                <w:right w:val="none" w:sz="0" w:space="0" w:color="auto"/>
                                                                              </w:divBdr>
                                                                              <w:divsChild>
                                                                                <w:div w:id="11985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26195646">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6029-988E-4C03-A880-4220ADF3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5</cp:revision>
  <dcterms:created xsi:type="dcterms:W3CDTF">2013-01-02T10:37:00Z</dcterms:created>
  <dcterms:modified xsi:type="dcterms:W3CDTF">2013-01-02T11:20:00Z</dcterms:modified>
</cp:coreProperties>
</file>