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5E1" w:rsidRDefault="00816B4A" w:rsidP="00A515E1">
      <w:pPr>
        <w:rPr>
          <w:rFonts w:ascii="Times New Roman" w:eastAsiaTheme="majorEastAsia" w:hAnsi="Times New Roman" w:cs="Times New Roman"/>
          <w:b/>
          <w:bCs/>
          <w:color w:val="4F81BD" w:themeColor="accent1"/>
          <w:sz w:val="26"/>
          <w:szCs w:val="26"/>
        </w:rPr>
      </w:pPr>
      <w:bookmarkStart w:id="0" w:name="_GoBack"/>
      <w:r>
        <w:rPr>
          <w:rFonts w:ascii="Times New Roman" w:eastAsiaTheme="majorEastAsia" w:hAnsi="Times New Roman" w:cs="Times New Roman"/>
          <w:b/>
          <w:bCs/>
          <w:color w:val="4F81BD" w:themeColor="accent1"/>
          <w:sz w:val="26"/>
          <w:szCs w:val="26"/>
        </w:rPr>
        <w:t>Kod Uygulaması ile ilgili Vergi Mahkemesi Kararı</w:t>
      </w:r>
    </w:p>
    <w:bookmarkEnd w:id="0"/>
    <w:p w:rsidR="00A515E1" w:rsidRDefault="00A515E1" w:rsidP="00A515E1">
      <w:pPr>
        <w:jc w:val="both"/>
        <w:rPr>
          <w:rFonts w:ascii="Times New Roman" w:hAnsi="Times New Roman" w:cs="Times New Roman"/>
          <w:color w:val="000000"/>
        </w:rPr>
      </w:pPr>
    </w:p>
    <w:p w:rsidR="00816B4A" w:rsidRDefault="00816B4A" w:rsidP="00A515E1">
      <w:pPr>
        <w:pStyle w:val="NormalWeb"/>
        <w:shd w:val="clear" w:color="auto" w:fill="FFFFFF"/>
        <w:spacing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Bilindiği üzere Maliye Bakanlığı tarafından naylon fatura kullanımı takibi için bir </w:t>
      </w:r>
      <w:proofErr w:type="gramStart"/>
      <w:r>
        <w:rPr>
          <w:rFonts w:ascii="Times New Roman" w:hAnsi="Times New Roman" w:cs="Times New Roman"/>
          <w:color w:val="000000"/>
          <w:sz w:val="22"/>
          <w:szCs w:val="22"/>
        </w:rPr>
        <w:t>data</w:t>
      </w:r>
      <w:proofErr w:type="gramEnd"/>
      <w:r>
        <w:rPr>
          <w:rFonts w:ascii="Times New Roman" w:hAnsi="Times New Roman" w:cs="Times New Roman"/>
          <w:color w:val="000000"/>
          <w:sz w:val="22"/>
          <w:szCs w:val="22"/>
        </w:rPr>
        <w:t xml:space="preserve"> bankası mevcuttur ve naylon fatura kesen ve kullanan firmalar bu data bankasına eklenmektedirler. Data bankasına haksız şekilde girmiş olan mükelleflerin de çıkarılması çok zor olmaktadır.</w:t>
      </w:r>
    </w:p>
    <w:p w:rsidR="00816B4A" w:rsidRDefault="00816B4A" w:rsidP="00816B4A">
      <w:pPr>
        <w:pStyle w:val="NormalWeb"/>
        <w:shd w:val="clear" w:color="auto" w:fill="FFFFFF"/>
        <w:spacing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Bu uygulamanın Anayasaya aykırı oluşu ile ilgili dava yoluna gitmiş bir mükellef adına verilmiş Vergi Mahkemesi Kararına göre</w:t>
      </w:r>
      <w:r w:rsidRPr="00816B4A">
        <w:rPr>
          <w:rFonts w:ascii="Times New Roman" w:hAnsi="Times New Roman" w:cs="Times New Roman"/>
          <w:color w:val="000000"/>
          <w:sz w:val="22"/>
          <w:szCs w:val="22"/>
        </w:rPr>
        <w:t xml:space="preserve"> dava konusu i</w:t>
      </w:r>
      <w:r>
        <w:rPr>
          <w:rFonts w:ascii="Times New Roman" w:hAnsi="Times New Roman" w:cs="Times New Roman"/>
          <w:color w:val="000000"/>
          <w:sz w:val="22"/>
          <w:szCs w:val="22"/>
        </w:rPr>
        <w:t xml:space="preserve">şlem hukuka aykırı bulunmuştur. </w:t>
      </w:r>
    </w:p>
    <w:p w:rsidR="00816B4A" w:rsidRDefault="00816B4A" w:rsidP="00816B4A">
      <w:pPr>
        <w:pStyle w:val="NormalWeb"/>
        <w:shd w:val="clear" w:color="auto" w:fill="FFFFFF"/>
        <w:spacing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Diğer mükelleflere emsal oluşturabilecek bu karar aşağıdaki gibidir:</w:t>
      </w:r>
    </w:p>
    <w:p w:rsidR="00816B4A" w:rsidRPr="00816B4A" w:rsidRDefault="00816B4A" w:rsidP="00816B4A">
      <w:pPr>
        <w:pStyle w:val="NormalWeb"/>
        <w:shd w:val="clear" w:color="auto" w:fill="FFFFFF"/>
        <w:jc w:val="both"/>
        <w:rPr>
          <w:rFonts w:ascii="Times New Roman" w:hAnsi="Times New Roman" w:cs="Times New Roman"/>
          <w:i/>
          <w:color w:val="000000"/>
          <w:sz w:val="22"/>
          <w:szCs w:val="22"/>
        </w:rPr>
      </w:pPr>
      <w:r w:rsidRPr="00816B4A">
        <w:rPr>
          <w:rFonts w:ascii="Times New Roman" w:hAnsi="Times New Roman" w:cs="Times New Roman"/>
          <w:i/>
          <w:color w:val="000000"/>
          <w:sz w:val="22"/>
          <w:szCs w:val="22"/>
        </w:rPr>
        <w:t xml:space="preserve">Uyuşmazlık, hakkında sahte belge kullandığı yönünde tespit bulunduğu gerekçesiyle 84 seri </w:t>
      </w:r>
      <w:proofErr w:type="spellStart"/>
      <w:r w:rsidRPr="00816B4A">
        <w:rPr>
          <w:rFonts w:ascii="Times New Roman" w:hAnsi="Times New Roman" w:cs="Times New Roman"/>
          <w:i/>
          <w:color w:val="000000"/>
          <w:sz w:val="22"/>
          <w:szCs w:val="22"/>
        </w:rPr>
        <w:t>no</w:t>
      </w:r>
      <w:r>
        <w:rPr>
          <w:rFonts w:ascii="Times New Roman" w:hAnsi="Times New Roman" w:cs="Times New Roman"/>
          <w:i/>
          <w:color w:val="000000"/>
          <w:sz w:val="22"/>
          <w:szCs w:val="22"/>
        </w:rPr>
        <w:t>’</w:t>
      </w:r>
      <w:r w:rsidRPr="00816B4A">
        <w:rPr>
          <w:rFonts w:ascii="Times New Roman" w:hAnsi="Times New Roman" w:cs="Times New Roman"/>
          <w:i/>
          <w:color w:val="000000"/>
          <w:sz w:val="22"/>
          <w:szCs w:val="22"/>
        </w:rPr>
        <w:t>lu</w:t>
      </w:r>
      <w:proofErr w:type="spellEnd"/>
      <w:r w:rsidRPr="00816B4A">
        <w:rPr>
          <w:rFonts w:ascii="Times New Roman" w:hAnsi="Times New Roman" w:cs="Times New Roman"/>
          <w:i/>
          <w:color w:val="000000"/>
          <w:sz w:val="22"/>
          <w:szCs w:val="22"/>
        </w:rPr>
        <w:t xml:space="preserve"> Katma Değer Vergisi Genel Tebliği’nin “Özel Esaslar” bölümü gereği davacının olumsuz mükellefler listesine alınması işleminden kaynaklanmaktadır. </w:t>
      </w:r>
    </w:p>
    <w:p w:rsidR="00816B4A" w:rsidRPr="00816B4A" w:rsidRDefault="00816B4A" w:rsidP="00816B4A">
      <w:pPr>
        <w:pStyle w:val="NormalWeb"/>
        <w:shd w:val="clear" w:color="auto" w:fill="FFFFFF"/>
        <w:jc w:val="both"/>
        <w:rPr>
          <w:rFonts w:ascii="Times New Roman" w:hAnsi="Times New Roman" w:cs="Times New Roman"/>
          <w:i/>
          <w:color w:val="000000"/>
          <w:sz w:val="22"/>
          <w:szCs w:val="22"/>
        </w:rPr>
      </w:pPr>
      <w:proofErr w:type="gramStart"/>
      <w:r w:rsidRPr="00816B4A">
        <w:rPr>
          <w:rFonts w:ascii="Times New Roman" w:hAnsi="Times New Roman" w:cs="Times New Roman"/>
          <w:i/>
          <w:color w:val="000000"/>
          <w:sz w:val="22"/>
          <w:szCs w:val="22"/>
        </w:rPr>
        <w:t xml:space="preserve">Anayasa'nın çalışma ve sözleşme hürriyetini düzenleyen 48.maddesinin 2.fıkrasında, devletin, özel teşebbüslerin milli ekonominin gereklerine ve sosyal amaçlara uygun yürümesini, güvenlik ve kararlılık içinde çalışmasını sağlayacak tedbirleri alacağı, çalışma hakkı ve ödevi başlıklı 49.maddesinin 2.fıkrasında, devletin, çalışmaların hayat seviyesini yükseltmek, çalışma hayatını geliştirmek için çalışanları ve işsizleri korumak, çalışmayı desteklemek işsizliği önlemeye elverişli ekonomik bir ortam yaratma ve çalışma barışını sağlamak için gerekli tedbirleri alacağı hükmüne yer verilmiş, ''Vergi Ödevi'' başlığını taşıyan 73.maddesinin 3.fıkrasında da, vergi, resim, harç ve benzeri mali yükümlülüklerin kanunla konulacağı, değiştirileceği veya kaldırılacağı belirtilmiştir. </w:t>
      </w:r>
      <w:proofErr w:type="gramEnd"/>
    </w:p>
    <w:p w:rsidR="00816B4A" w:rsidRPr="00816B4A" w:rsidRDefault="00816B4A" w:rsidP="00816B4A">
      <w:pPr>
        <w:pStyle w:val="NormalWeb"/>
        <w:shd w:val="clear" w:color="auto" w:fill="FFFFFF"/>
        <w:jc w:val="both"/>
        <w:rPr>
          <w:rFonts w:ascii="Times New Roman" w:hAnsi="Times New Roman" w:cs="Times New Roman"/>
          <w:i/>
          <w:color w:val="000000"/>
          <w:sz w:val="22"/>
          <w:szCs w:val="22"/>
        </w:rPr>
      </w:pPr>
      <w:r w:rsidRPr="00816B4A">
        <w:rPr>
          <w:rFonts w:ascii="Times New Roman" w:hAnsi="Times New Roman" w:cs="Times New Roman"/>
          <w:i/>
          <w:color w:val="000000"/>
          <w:sz w:val="22"/>
          <w:szCs w:val="22"/>
        </w:rPr>
        <w:t xml:space="preserve">Bu düzenlemelere göre devletin çalışma hayatına ilişkin düzenlemeleri yapması ve buna dair tedbirleri alması bir görev iken çalışma çalışanlar açısından bir hak ve ödevdir. Gerek bu alanda yapılacak düzenlemelerin gerek çalışma hayatının bir sonucu olan vergi, resim, harç ve benzeri mali yükümlülüklerle ilgili düzenlemelerin yasa ile yapılması ise zorunludur. Dayanağını Anayasa’ya uygun olarak çıkarılmış olan bu kanunlardan almayan düzenlemelerle bir takım hak ve yükümlülükler getirilemez. Bu suretle çalışma barışının sağlanması yanında, özel teşebbüslerin güvenlik ve kararlılık içinde çalışması da temin edilmiş olur. </w:t>
      </w:r>
    </w:p>
    <w:p w:rsidR="00816B4A" w:rsidRPr="00816B4A" w:rsidRDefault="00816B4A" w:rsidP="00816B4A">
      <w:pPr>
        <w:pStyle w:val="NormalWeb"/>
        <w:shd w:val="clear" w:color="auto" w:fill="FFFFFF"/>
        <w:jc w:val="both"/>
        <w:rPr>
          <w:rFonts w:ascii="Times New Roman" w:hAnsi="Times New Roman" w:cs="Times New Roman"/>
          <w:i/>
          <w:color w:val="000000"/>
          <w:sz w:val="22"/>
          <w:szCs w:val="22"/>
        </w:rPr>
      </w:pPr>
      <w:r w:rsidRPr="00816B4A">
        <w:rPr>
          <w:rFonts w:ascii="Times New Roman" w:hAnsi="Times New Roman" w:cs="Times New Roman"/>
          <w:i/>
          <w:color w:val="000000"/>
          <w:sz w:val="22"/>
          <w:szCs w:val="22"/>
        </w:rPr>
        <w:t xml:space="preserve">Dosyanın incelenmesinden; davacının, hakkında sahte fatura düzenlediği yönünde vergi tekniği raporu </w:t>
      </w:r>
      <w:proofErr w:type="gramStart"/>
      <w:r w:rsidRPr="00816B4A">
        <w:rPr>
          <w:rFonts w:ascii="Times New Roman" w:hAnsi="Times New Roman" w:cs="Times New Roman"/>
          <w:i/>
          <w:color w:val="000000"/>
          <w:sz w:val="22"/>
          <w:szCs w:val="22"/>
        </w:rPr>
        <w:t xml:space="preserve">bulunan </w:t>
      </w:r>
      <w:r>
        <w:rPr>
          <w:rFonts w:ascii="Times New Roman" w:hAnsi="Times New Roman" w:cs="Times New Roman"/>
          <w:i/>
          <w:color w:val="000000"/>
          <w:sz w:val="22"/>
          <w:szCs w:val="22"/>
        </w:rPr>
        <w:t>…</w:t>
      </w:r>
      <w:proofErr w:type="gramEnd"/>
      <w:r>
        <w:rPr>
          <w:rFonts w:ascii="Times New Roman" w:hAnsi="Times New Roman" w:cs="Times New Roman"/>
          <w:i/>
          <w:color w:val="000000"/>
          <w:sz w:val="22"/>
          <w:szCs w:val="22"/>
        </w:rPr>
        <w:t xml:space="preserve"> </w:t>
      </w:r>
      <w:r w:rsidRPr="00816B4A">
        <w:rPr>
          <w:rFonts w:ascii="Times New Roman" w:hAnsi="Times New Roman" w:cs="Times New Roman"/>
          <w:i/>
          <w:color w:val="000000"/>
          <w:sz w:val="22"/>
          <w:szCs w:val="22"/>
        </w:rPr>
        <w:t xml:space="preserve">.A.Ş.' </w:t>
      </w:r>
      <w:proofErr w:type="spellStart"/>
      <w:r w:rsidRPr="00816B4A">
        <w:rPr>
          <w:rFonts w:ascii="Times New Roman" w:hAnsi="Times New Roman" w:cs="Times New Roman"/>
          <w:i/>
          <w:color w:val="000000"/>
          <w:sz w:val="22"/>
          <w:szCs w:val="22"/>
        </w:rPr>
        <w:t>nin</w:t>
      </w:r>
      <w:proofErr w:type="spellEnd"/>
      <w:r w:rsidRPr="00816B4A">
        <w:rPr>
          <w:rFonts w:ascii="Times New Roman" w:hAnsi="Times New Roman" w:cs="Times New Roman"/>
          <w:i/>
          <w:color w:val="000000"/>
          <w:sz w:val="22"/>
          <w:szCs w:val="22"/>
        </w:rPr>
        <w:t xml:space="preserve"> faturalarını kullandığı gerekçesiyle 84 Seri </w:t>
      </w:r>
      <w:proofErr w:type="spellStart"/>
      <w:r w:rsidRPr="00816B4A">
        <w:rPr>
          <w:rFonts w:ascii="Times New Roman" w:hAnsi="Times New Roman" w:cs="Times New Roman"/>
          <w:i/>
          <w:color w:val="000000"/>
          <w:sz w:val="22"/>
          <w:szCs w:val="22"/>
        </w:rPr>
        <w:t>No'lu</w:t>
      </w:r>
      <w:proofErr w:type="spellEnd"/>
      <w:r w:rsidRPr="00816B4A">
        <w:rPr>
          <w:rFonts w:ascii="Times New Roman" w:hAnsi="Times New Roman" w:cs="Times New Roman"/>
          <w:i/>
          <w:color w:val="000000"/>
          <w:sz w:val="22"/>
          <w:szCs w:val="22"/>
        </w:rPr>
        <w:t xml:space="preserve"> Katma Değer Vergisi Genel Tebliği’nin “Özel Esaslar” bölümü gereği olumsuz mükellefler listesine alındığı anlaşılmaktadır. </w:t>
      </w:r>
    </w:p>
    <w:p w:rsidR="00816B4A" w:rsidRPr="00816B4A" w:rsidRDefault="00816B4A" w:rsidP="00816B4A">
      <w:pPr>
        <w:pStyle w:val="NormalWeb"/>
        <w:shd w:val="clear" w:color="auto" w:fill="FFFFFF"/>
        <w:jc w:val="both"/>
        <w:rPr>
          <w:rFonts w:ascii="Times New Roman" w:hAnsi="Times New Roman" w:cs="Times New Roman"/>
          <w:i/>
          <w:color w:val="000000"/>
          <w:sz w:val="22"/>
          <w:szCs w:val="22"/>
        </w:rPr>
      </w:pPr>
      <w:r w:rsidRPr="00816B4A">
        <w:rPr>
          <w:rFonts w:ascii="Times New Roman" w:hAnsi="Times New Roman" w:cs="Times New Roman"/>
          <w:i/>
          <w:color w:val="000000"/>
          <w:sz w:val="22"/>
          <w:szCs w:val="22"/>
        </w:rPr>
        <w:t xml:space="preserve">Bakılan davada davacı, hakkında olumsuz tespit olduğu gerekçesiyle bir listeye </w:t>
      </w:r>
      <w:proofErr w:type="gramStart"/>
      <w:r w:rsidRPr="00816B4A">
        <w:rPr>
          <w:rFonts w:ascii="Times New Roman" w:hAnsi="Times New Roman" w:cs="Times New Roman"/>
          <w:i/>
          <w:color w:val="000000"/>
          <w:sz w:val="22"/>
          <w:szCs w:val="22"/>
        </w:rPr>
        <w:t>dahil</w:t>
      </w:r>
      <w:proofErr w:type="gramEnd"/>
      <w:r w:rsidRPr="00816B4A">
        <w:rPr>
          <w:rFonts w:ascii="Times New Roman" w:hAnsi="Times New Roman" w:cs="Times New Roman"/>
          <w:i/>
          <w:color w:val="000000"/>
          <w:sz w:val="22"/>
          <w:szCs w:val="22"/>
        </w:rPr>
        <w:t xml:space="preserve"> edilmiş olup gerek davalı idarenin, gerekse bağlı bulunduğu hiyerarşik üst makamların mükellefleri bu şekilde kategorize edebilmelerine olanak sağlayan hiçbir yasal düzenleme bulunmadığı gibi, Anayasa'da da buna izin veren bir hüküm de yer almamaktadır. Bu şekilde yasal dayanağı olmadan yapılacak bir sınıflandırma, vergi barışını bozucu etki yaratacağı gibi, Anayasa'da güvence altına alınan temel kişi hak ve hürriyetlerine de aykırılık teşkil eder. Dolayısıyla yasal dayanağı olmadan, hukuka aykırı bir biçimde idarenin kendi içerisinde oluşturduğu bir sınıflandırma ile davacının hakkında olumsuzluk tespit edilen mükellefler listesi olarak adlandırılan listede yer alması mümkün bulunmadığından, davacının ''hakkında olumsuzluk tespit edilen mükellefler'' listesine alınmasına ilişkin dava konusu işlem hukuka aykırı bulunmuştur. </w:t>
      </w:r>
    </w:p>
    <w:p w:rsidR="00816B4A" w:rsidRPr="00816B4A" w:rsidRDefault="00816B4A" w:rsidP="00816B4A">
      <w:pPr>
        <w:pStyle w:val="NormalWeb"/>
        <w:shd w:val="clear" w:color="auto" w:fill="FFFFFF"/>
        <w:spacing w:line="240" w:lineRule="auto"/>
        <w:jc w:val="both"/>
        <w:rPr>
          <w:rFonts w:ascii="Times New Roman" w:hAnsi="Times New Roman" w:cs="Times New Roman"/>
          <w:i/>
          <w:color w:val="000000"/>
          <w:sz w:val="22"/>
          <w:szCs w:val="22"/>
        </w:rPr>
      </w:pPr>
      <w:r w:rsidRPr="00816B4A">
        <w:rPr>
          <w:rFonts w:ascii="Times New Roman" w:hAnsi="Times New Roman" w:cs="Times New Roman"/>
          <w:i/>
          <w:color w:val="000000"/>
          <w:sz w:val="22"/>
          <w:szCs w:val="22"/>
        </w:rPr>
        <w:t>Açıklanan nedenlerle; DAVANIN KABULÜNE, dava konusu işlemin iptaline, Danıştay’a temyi</w:t>
      </w:r>
      <w:r>
        <w:rPr>
          <w:rFonts w:ascii="Times New Roman" w:hAnsi="Times New Roman" w:cs="Times New Roman"/>
          <w:i/>
          <w:color w:val="000000"/>
          <w:sz w:val="22"/>
          <w:szCs w:val="22"/>
        </w:rPr>
        <w:t xml:space="preserve">z yolu açık olmak üzere, … </w:t>
      </w:r>
      <w:proofErr w:type="gramStart"/>
      <w:r w:rsidRPr="00816B4A">
        <w:rPr>
          <w:rFonts w:ascii="Times New Roman" w:hAnsi="Times New Roman" w:cs="Times New Roman"/>
          <w:i/>
          <w:color w:val="000000"/>
          <w:sz w:val="22"/>
          <w:szCs w:val="22"/>
        </w:rPr>
        <w:t>tarihinde</w:t>
      </w:r>
      <w:proofErr w:type="gramEnd"/>
      <w:r w:rsidRPr="00816B4A">
        <w:rPr>
          <w:rFonts w:ascii="Times New Roman" w:hAnsi="Times New Roman" w:cs="Times New Roman"/>
          <w:i/>
          <w:color w:val="000000"/>
          <w:sz w:val="22"/>
          <w:szCs w:val="22"/>
        </w:rPr>
        <w:t xml:space="preserve"> oybirliğiyle karar verildi.”</w:t>
      </w:r>
    </w:p>
    <w:p w:rsidR="00145F2B" w:rsidRPr="00816B4A" w:rsidRDefault="00145F2B" w:rsidP="00A515E1">
      <w:pPr>
        <w:pStyle w:val="NormalWeb"/>
        <w:shd w:val="clear" w:color="auto" w:fill="FFFFFF"/>
        <w:spacing w:line="240" w:lineRule="auto"/>
        <w:jc w:val="both"/>
        <w:rPr>
          <w:rFonts w:ascii="Times New Roman" w:hAnsi="Times New Roman" w:cs="Times New Roman"/>
          <w:i/>
          <w:color w:val="000000"/>
          <w:sz w:val="22"/>
          <w:szCs w:val="22"/>
        </w:rPr>
      </w:pPr>
    </w:p>
    <w:p w:rsidR="00A515E1" w:rsidRDefault="00A515E1" w:rsidP="00A515E1">
      <w:pPr>
        <w:pStyle w:val="NormalWeb"/>
        <w:shd w:val="clear" w:color="auto" w:fill="FFFFFF"/>
        <w:spacing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Saygılarımızla,</w:t>
      </w:r>
    </w:p>
    <w:p w:rsidR="005F6332" w:rsidRPr="00A515E1" w:rsidRDefault="005F6332" w:rsidP="00A515E1"/>
    <w:sectPr w:rsidR="005F6332" w:rsidRPr="00A515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09" w:rsidRDefault="009F6F09" w:rsidP="00A71FB3">
      <w:r>
        <w:separator/>
      </w:r>
    </w:p>
  </w:endnote>
  <w:endnote w:type="continuationSeparator" w:id="0">
    <w:p w:rsidR="009F6F09" w:rsidRDefault="009F6F09" w:rsidP="00A7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charset w:val="80"/>
    <w:family w:val="auto"/>
    <w:pitch w:val="variable"/>
    <w:sig w:usb0="00000000" w:usb1="00000000" w:usb2="01000407"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09" w:rsidRDefault="009F6F09" w:rsidP="00A71FB3">
      <w:r>
        <w:separator/>
      </w:r>
    </w:p>
  </w:footnote>
  <w:footnote w:type="continuationSeparator" w:id="0">
    <w:p w:rsidR="009F6F09" w:rsidRDefault="009F6F09" w:rsidP="00A71F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55F"/>
    <w:multiLevelType w:val="hybridMultilevel"/>
    <w:tmpl w:val="4172247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9A11503"/>
    <w:multiLevelType w:val="hybridMultilevel"/>
    <w:tmpl w:val="9F10D8D0"/>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0A2600D9"/>
    <w:multiLevelType w:val="hybridMultilevel"/>
    <w:tmpl w:val="4F32BA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57F5B27"/>
    <w:multiLevelType w:val="hybridMultilevel"/>
    <w:tmpl w:val="6E4CDA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6310CDE"/>
    <w:multiLevelType w:val="hybridMultilevel"/>
    <w:tmpl w:val="C20E438C"/>
    <w:lvl w:ilvl="0" w:tplc="041F000B">
      <w:start w:val="1"/>
      <w:numFmt w:val="bullet"/>
      <w:lvlText w:val=""/>
      <w:lvlJc w:val="left"/>
      <w:pPr>
        <w:tabs>
          <w:tab w:val="num" w:pos="360"/>
        </w:tabs>
        <w:ind w:left="36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5">
    <w:nsid w:val="178D2376"/>
    <w:multiLevelType w:val="hybridMultilevel"/>
    <w:tmpl w:val="4A66B776"/>
    <w:lvl w:ilvl="0" w:tplc="548AB71C">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3996608"/>
    <w:multiLevelType w:val="hybridMultilevel"/>
    <w:tmpl w:val="93106284"/>
    <w:lvl w:ilvl="0" w:tplc="4C04AC3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44E045A"/>
    <w:multiLevelType w:val="hybridMultilevel"/>
    <w:tmpl w:val="45EAB6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8F45109"/>
    <w:multiLevelType w:val="hybridMultilevel"/>
    <w:tmpl w:val="7504A7BE"/>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29DC264A"/>
    <w:multiLevelType w:val="hybridMultilevel"/>
    <w:tmpl w:val="F404F15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2C80641E"/>
    <w:multiLevelType w:val="hybridMultilevel"/>
    <w:tmpl w:val="18D27F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4027F6D"/>
    <w:multiLevelType w:val="hybridMultilevel"/>
    <w:tmpl w:val="894ED49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548AB71C">
      <w:start w:val="1"/>
      <w:numFmt w:val="bullet"/>
      <w:lvlText w:val="-"/>
      <w:lvlJc w:val="left"/>
      <w:pPr>
        <w:ind w:left="1800" w:hanging="180"/>
      </w:pPr>
      <w:rPr>
        <w:rFonts w:ascii="Times New Roman" w:eastAsiaTheme="minorHAnsi" w:hAnsi="Times New Roman" w:cs="Times New Roman" w:hint="default"/>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36564131"/>
    <w:multiLevelType w:val="hybridMultilevel"/>
    <w:tmpl w:val="32DEF5D8"/>
    <w:lvl w:ilvl="0" w:tplc="A7225D06">
      <w:start w:val="30"/>
      <w:numFmt w:val="bullet"/>
      <w:lvlText w:val="-"/>
      <w:lvlJc w:val="left"/>
      <w:pPr>
        <w:ind w:left="720" w:hanging="360"/>
      </w:pPr>
      <w:rPr>
        <w:rFonts w:ascii="Times New Roman" w:eastAsia="Calibr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39A06366"/>
    <w:multiLevelType w:val="hybridMultilevel"/>
    <w:tmpl w:val="FF4C9F76"/>
    <w:lvl w:ilvl="0" w:tplc="14880BFC">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ADC37A2"/>
    <w:multiLevelType w:val="hybridMultilevel"/>
    <w:tmpl w:val="DD9C420C"/>
    <w:lvl w:ilvl="0" w:tplc="2AD8100A">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nsid w:val="3C1E7DB8"/>
    <w:multiLevelType w:val="hybridMultilevel"/>
    <w:tmpl w:val="E97A8B6A"/>
    <w:lvl w:ilvl="0" w:tplc="EF04253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5B56312"/>
    <w:multiLevelType w:val="hybridMultilevel"/>
    <w:tmpl w:val="DAC8A3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6556D59"/>
    <w:multiLevelType w:val="hybridMultilevel"/>
    <w:tmpl w:val="FC62E7F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48D71F00"/>
    <w:multiLevelType w:val="hybridMultilevel"/>
    <w:tmpl w:val="DE561E10"/>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8EC50B1"/>
    <w:multiLevelType w:val="hybridMultilevel"/>
    <w:tmpl w:val="CA04A7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8F05BE5"/>
    <w:multiLevelType w:val="hybridMultilevel"/>
    <w:tmpl w:val="2334C3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9906199"/>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4D807108"/>
    <w:multiLevelType w:val="hybridMultilevel"/>
    <w:tmpl w:val="3A3467D4"/>
    <w:lvl w:ilvl="0" w:tplc="A8485ED0">
      <w:numFmt w:val="bullet"/>
      <w:lvlText w:val="-"/>
      <w:lvlJc w:val="left"/>
      <w:pPr>
        <w:tabs>
          <w:tab w:val="num" w:pos="720"/>
        </w:tabs>
        <w:ind w:left="720" w:hanging="360"/>
      </w:pPr>
      <w:rPr>
        <w:rFonts w:ascii="Calibri" w:eastAsia="Times" w:hAnsi="Calibri" w:cs="Time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A8485ED0">
      <w:numFmt w:val="bullet"/>
      <w:lvlText w:val="-"/>
      <w:lvlJc w:val="left"/>
      <w:pPr>
        <w:tabs>
          <w:tab w:val="num" w:pos="2160"/>
        </w:tabs>
        <w:ind w:left="2160" w:hanging="360"/>
      </w:pPr>
      <w:rPr>
        <w:rFonts w:ascii="Calibri" w:eastAsia="Times" w:hAnsi="Calibri" w:cs="Time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3">
    <w:nsid w:val="512F4EB3"/>
    <w:multiLevelType w:val="hybridMultilevel"/>
    <w:tmpl w:val="EDF0B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1C114F8"/>
    <w:multiLevelType w:val="hybridMultilevel"/>
    <w:tmpl w:val="3F540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93C1749"/>
    <w:multiLevelType w:val="hybridMultilevel"/>
    <w:tmpl w:val="0930F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C4177A8"/>
    <w:multiLevelType w:val="hybridMultilevel"/>
    <w:tmpl w:val="35A2D9AC"/>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F9360DC"/>
    <w:multiLevelType w:val="hybridMultilevel"/>
    <w:tmpl w:val="3AAEB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0E50397"/>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nsid w:val="642F3D2F"/>
    <w:multiLevelType w:val="hybridMultilevel"/>
    <w:tmpl w:val="CC6CED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B0E50C2"/>
    <w:multiLevelType w:val="hybridMultilevel"/>
    <w:tmpl w:val="E05A7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F0A292B"/>
    <w:multiLevelType w:val="hybridMultilevel"/>
    <w:tmpl w:val="0A8AB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0FC3134"/>
    <w:multiLevelType w:val="hybridMultilevel"/>
    <w:tmpl w:val="9800D8F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nsid w:val="75754BF9"/>
    <w:multiLevelType w:val="hybridMultilevel"/>
    <w:tmpl w:val="AA9A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4F286F"/>
    <w:multiLevelType w:val="hybridMultilevel"/>
    <w:tmpl w:val="A6BAB75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nsid w:val="7CDE2CB5"/>
    <w:multiLevelType w:val="hybridMultilevel"/>
    <w:tmpl w:val="9D46EE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F7500DA"/>
    <w:multiLevelType w:val="hybridMultilevel"/>
    <w:tmpl w:val="ACD29D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FD85779"/>
    <w:multiLevelType w:val="hybridMultilevel"/>
    <w:tmpl w:val="BFCA2BFE"/>
    <w:lvl w:ilvl="0" w:tplc="2AD8100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4"/>
  </w:num>
  <w:num w:numId="2">
    <w:abstractNumId w:val="26"/>
  </w:num>
  <w:num w:numId="3">
    <w:abstractNumId w:val="20"/>
  </w:num>
  <w:num w:numId="4">
    <w:abstractNumId w:val="5"/>
  </w:num>
  <w:num w:numId="5">
    <w:abstractNumId w:val="10"/>
  </w:num>
  <w:num w:numId="6">
    <w:abstractNumId w:val="11"/>
  </w:num>
  <w:num w:numId="7">
    <w:abstractNumId w:val="8"/>
  </w:num>
  <w:num w:numId="8">
    <w:abstractNumId w:val="21"/>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2"/>
  </w:num>
  <w:num w:numId="12">
    <w:abstractNumId w:val="1"/>
  </w:num>
  <w:num w:numId="13">
    <w:abstractNumId w:val="4"/>
  </w:num>
  <w:num w:numId="14">
    <w:abstractNumId w:val="17"/>
  </w:num>
  <w:num w:numId="15">
    <w:abstractNumId w:val="18"/>
  </w:num>
  <w:num w:numId="16">
    <w:abstractNumId w:val="28"/>
  </w:num>
  <w:num w:numId="17">
    <w:abstractNumId w:val="24"/>
  </w:num>
  <w:num w:numId="18">
    <w:abstractNumId w:val="24"/>
  </w:num>
  <w:num w:numId="19">
    <w:abstractNumId w:val="30"/>
  </w:num>
  <w:num w:numId="20">
    <w:abstractNumId w:val="37"/>
  </w:num>
  <w:num w:numId="21">
    <w:abstractNumId w:val="14"/>
  </w:num>
  <w:num w:numId="22">
    <w:abstractNumId w:val="31"/>
  </w:num>
  <w:num w:numId="23">
    <w:abstractNumId w:val="0"/>
  </w:num>
  <w:num w:numId="24">
    <w:abstractNumId w:val="27"/>
  </w:num>
  <w:num w:numId="25">
    <w:abstractNumId w:val="6"/>
  </w:num>
  <w:num w:numId="26">
    <w:abstractNumId w:val="25"/>
  </w:num>
  <w:num w:numId="27">
    <w:abstractNumId w:val="29"/>
  </w:num>
  <w:num w:numId="28">
    <w:abstractNumId w:val="2"/>
  </w:num>
  <w:num w:numId="29">
    <w:abstractNumId w:val="7"/>
  </w:num>
  <w:num w:numId="30">
    <w:abstractNumId w:val="15"/>
  </w:num>
  <w:num w:numId="31">
    <w:abstractNumId w:val="32"/>
  </w:num>
  <w:num w:numId="32">
    <w:abstractNumId w:val="19"/>
  </w:num>
  <w:num w:numId="33">
    <w:abstractNumId w:val="3"/>
  </w:num>
  <w:num w:numId="34">
    <w:abstractNumId w:val="9"/>
  </w:num>
  <w:num w:numId="35">
    <w:abstractNumId w:val="16"/>
  </w:num>
  <w:num w:numId="36">
    <w:abstractNumId w:val="35"/>
  </w:num>
  <w:num w:numId="37">
    <w:abstractNumId w:val="13"/>
  </w:num>
  <w:num w:numId="38">
    <w:abstractNumId w:val="36"/>
  </w:num>
  <w:num w:numId="39">
    <w:abstractNumId w:val="12"/>
  </w:num>
  <w:num w:numId="40">
    <w:abstractNumId w:val="23"/>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C7"/>
    <w:rsid w:val="000767D9"/>
    <w:rsid w:val="000875DE"/>
    <w:rsid w:val="000C00F9"/>
    <w:rsid w:val="000D7A12"/>
    <w:rsid w:val="000E0BD3"/>
    <w:rsid w:val="00105516"/>
    <w:rsid w:val="00145F2B"/>
    <w:rsid w:val="001715D1"/>
    <w:rsid w:val="001A2CF6"/>
    <w:rsid w:val="001A5E50"/>
    <w:rsid w:val="001D4E07"/>
    <w:rsid w:val="001E12C6"/>
    <w:rsid w:val="00217DF3"/>
    <w:rsid w:val="00247E15"/>
    <w:rsid w:val="00261647"/>
    <w:rsid w:val="00276B44"/>
    <w:rsid w:val="002D7C92"/>
    <w:rsid w:val="002E4631"/>
    <w:rsid w:val="00304985"/>
    <w:rsid w:val="00314250"/>
    <w:rsid w:val="003343C7"/>
    <w:rsid w:val="00334FEB"/>
    <w:rsid w:val="00340FA1"/>
    <w:rsid w:val="003608B3"/>
    <w:rsid w:val="00363721"/>
    <w:rsid w:val="003642B5"/>
    <w:rsid w:val="00367E70"/>
    <w:rsid w:val="003A2A8F"/>
    <w:rsid w:val="003A5323"/>
    <w:rsid w:val="003B2991"/>
    <w:rsid w:val="003D418D"/>
    <w:rsid w:val="003E0E76"/>
    <w:rsid w:val="003E164A"/>
    <w:rsid w:val="003E4EF1"/>
    <w:rsid w:val="00403209"/>
    <w:rsid w:val="00404D5E"/>
    <w:rsid w:val="004057A2"/>
    <w:rsid w:val="00437188"/>
    <w:rsid w:val="004419D6"/>
    <w:rsid w:val="00444CBC"/>
    <w:rsid w:val="00453754"/>
    <w:rsid w:val="00465811"/>
    <w:rsid w:val="00482BF1"/>
    <w:rsid w:val="004B0787"/>
    <w:rsid w:val="00514B59"/>
    <w:rsid w:val="00537C03"/>
    <w:rsid w:val="0054054D"/>
    <w:rsid w:val="0054396F"/>
    <w:rsid w:val="00567821"/>
    <w:rsid w:val="00574848"/>
    <w:rsid w:val="00574E67"/>
    <w:rsid w:val="0058328B"/>
    <w:rsid w:val="0058466E"/>
    <w:rsid w:val="005C208C"/>
    <w:rsid w:val="005D0BE3"/>
    <w:rsid w:val="005E0CC0"/>
    <w:rsid w:val="005F08CA"/>
    <w:rsid w:val="005F5A5C"/>
    <w:rsid w:val="005F6332"/>
    <w:rsid w:val="00606DAD"/>
    <w:rsid w:val="00607AF0"/>
    <w:rsid w:val="006359D0"/>
    <w:rsid w:val="00643897"/>
    <w:rsid w:val="006600B1"/>
    <w:rsid w:val="006836E6"/>
    <w:rsid w:val="006A4B28"/>
    <w:rsid w:val="006D50BA"/>
    <w:rsid w:val="006F4199"/>
    <w:rsid w:val="00730C3E"/>
    <w:rsid w:val="00733095"/>
    <w:rsid w:val="00777C75"/>
    <w:rsid w:val="00794604"/>
    <w:rsid w:val="007A0F57"/>
    <w:rsid w:val="007A4519"/>
    <w:rsid w:val="007A5F1B"/>
    <w:rsid w:val="007B01E9"/>
    <w:rsid w:val="007C3A2C"/>
    <w:rsid w:val="007D60E1"/>
    <w:rsid w:val="007D7FC8"/>
    <w:rsid w:val="007E063C"/>
    <w:rsid w:val="007E27E1"/>
    <w:rsid w:val="007E40F0"/>
    <w:rsid w:val="008045F7"/>
    <w:rsid w:val="00816B4A"/>
    <w:rsid w:val="008A5BFD"/>
    <w:rsid w:val="008B5D6D"/>
    <w:rsid w:val="008D4477"/>
    <w:rsid w:val="008D719C"/>
    <w:rsid w:val="008F3B63"/>
    <w:rsid w:val="0094311B"/>
    <w:rsid w:val="009706CB"/>
    <w:rsid w:val="009740A5"/>
    <w:rsid w:val="009916E0"/>
    <w:rsid w:val="00994CE3"/>
    <w:rsid w:val="009B7DB7"/>
    <w:rsid w:val="009C3843"/>
    <w:rsid w:val="009C789A"/>
    <w:rsid w:val="009F6F09"/>
    <w:rsid w:val="00A039D9"/>
    <w:rsid w:val="00A117F8"/>
    <w:rsid w:val="00A12856"/>
    <w:rsid w:val="00A232B0"/>
    <w:rsid w:val="00A46E5C"/>
    <w:rsid w:val="00A515E1"/>
    <w:rsid w:val="00A6782E"/>
    <w:rsid w:val="00A71FB3"/>
    <w:rsid w:val="00A8305E"/>
    <w:rsid w:val="00A91BBD"/>
    <w:rsid w:val="00A965F8"/>
    <w:rsid w:val="00AA5255"/>
    <w:rsid w:val="00AB514A"/>
    <w:rsid w:val="00AE48EF"/>
    <w:rsid w:val="00AE70E2"/>
    <w:rsid w:val="00AE7CF9"/>
    <w:rsid w:val="00AF137E"/>
    <w:rsid w:val="00AF6716"/>
    <w:rsid w:val="00AF7951"/>
    <w:rsid w:val="00B034F8"/>
    <w:rsid w:val="00B10C50"/>
    <w:rsid w:val="00B22999"/>
    <w:rsid w:val="00B30101"/>
    <w:rsid w:val="00B4725D"/>
    <w:rsid w:val="00B5240A"/>
    <w:rsid w:val="00B53C98"/>
    <w:rsid w:val="00B55476"/>
    <w:rsid w:val="00B85436"/>
    <w:rsid w:val="00B85EC7"/>
    <w:rsid w:val="00B953BE"/>
    <w:rsid w:val="00BB0EBB"/>
    <w:rsid w:val="00BC543D"/>
    <w:rsid w:val="00BC55F2"/>
    <w:rsid w:val="00BF1D74"/>
    <w:rsid w:val="00C108A6"/>
    <w:rsid w:val="00C127C8"/>
    <w:rsid w:val="00C205B9"/>
    <w:rsid w:val="00C22EC6"/>
    <w:rsid w:val="00C358AE"/>
    <w:rsid w:val="00C574AF"/>
    <w:rsid w:val="00C66262"/>
    <w:rsid w:val="00C708A4"/>
    <w:rsid w:val="00C865B8"/>
    <w:rsid w:val="00CA0243"/>
    <w:rsid w:val="00CD0AF0"/>
    <w:rsid w:val="00CF5100"/>
    <w:rsid w:val="00CF516F"/>
    <w:rsid w:val="00D00E4B"/>
    <w:rsid w:val="00D03CEA"/>
    <w:rsid w:val="00D0466A"/>
    <w:rsid w:val="00D13666"/>
    <w:rsid w:val="00D430D5"/>
    <w:rsid w:val="00D7375B"/>
    <w:rsid w:val="00D773D6"/>
    <w:rsid w:val="00D80223"/>
    <w:rsid w:val="00D85B4F"/>
    <w:rsid w:val="00D93F3F"/>
    <w:rsid w:val="00DB06EB"/>
    <w:rsid w:val="00DB1C20"/>
    <w:rsid w:val="00DB2862"/>
    <w:rsid w:val="00DD4A4E"/>
    <w:rsid w:val="00E22214"/>
    <w:rsid w:val="00E95686"/>
    <w:rsid w:val="00EA1EA2"/>
    <w:rsid w:val="00EC6B08"/>
    <w:rsid w:val="00EC6C91"/>
    <w:rsid w:val="00EE3342"/>
    <w:rsid w:val="00EE6AEB"/>
    <w:rsid w:val="00EF478B"/>
    <w:rsid w:val="00F04664"/>
    <w:rsid w:val="00F056AB"/>
    <w:rsid w:val="00F10D7A"/>
    <w:rsid w:val="00F15E8C"/>
    <w:rsid w:val="00F2259C"/>
    <w:rsid w:val="00F25846"/>
    <w:rsid w:val="00F37F1D"/>
    <w:rsid w:val="00F4367C"/>
    <w:rsid w:val="00F60EAB"/>
    <w:rsid w:val="00F97F08"/>
    <w:rsid w:val="00FA6856"/>
    <w:rsid w:val="00FB7B4D"/>
    <w:rsid w:val="00FD1461"/>
    <w:rsid w:val="00FD6860"/>
    <w:rsid w:val="00FE66C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9D6"/>
    <w:pPr>
      <w:spacing w:after="0" w:line="240" w:lineRule="auto"/>
    </w:pPr>
    <w:rPr>
      <w:rFonts w:ascii="Calibri" w:hAnsi="Calibri" w:cs="Calibri"/>
    </w:rPr>
  </w:style>
  <w:style w:type="paragraph" w:styleId="Heading1">
    <w:name w:val="heading 1"/>
    <w:basedOn w:val="Normal"/>
    <w:next w:val="Normal"/>
    <w:link w:val="Heading1Char"/>
    <w:uiPriority w:val="9"/>
    <w:qFormat/>
    <w:rsid w:val="007A0F57"/>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unhideWhenUsed/>
    <w:rsid w:val="005E0CC0"/>
    <w:pPr>
      <w:spacing w:before="195"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 w:type="paragraph" w:customStyle="1" w:styleId="3-NormalYaz">
    <w:name w:val="3-Normal Yazı"/>
    <w:rsid w:val="00BC543D"/>
    <w:pPr>
      <w:tabs>
        <w:tab w:val="left" w:pos="566"/>
      </w:tabs>
      <w:spacing w:after="0" w:line="240" w:lineRule="auto"/>
      <w:jc w:val="both"/>
    </w:pPr>
    <w:rPr>
      <w:rFonts w:ascii="Times New Roman" w:eastAsia="ヒラギノ明朝 Pro W3" w:hAnsi="Times" w:cs="Times New Roman"/>
      <w:sz w:val="19"/>
      <w:szCs w:val="20"/>
    </w:rPr>
  </w:style>
  <w:style w:type="character" w:styleId="FollowedHyperlink">
    <w:name w:val="FollowedHyperlink"/>
    <w:basedOn w:val="DefaultParagraphFont"/>
    <w:uiPriority w:val="99"/>
    <w:semiHidden/>
    <w:unhideWhenUsed/>
    <w:rsid w:val="00A515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9D6"/>
    <w:pPr>
      <w:spacing w:after="0" w:line="240" w:lineRule="auto"/>
    </w:pPr>
    <w:rPr>
      <w:rFonts w:ascii="Calibri" w:hAnsi="Calibri" w:cs="Calibri"/>
    </w:rPr>
  </w:style>
  <w:style w:type="paragraph" w:styleId="Heading1">
    <w:name w:val="heading 1"/>
    <w:basedOn w:val="Normal"/>
    <w:next w:val="Normal"/>
    <w:link w:val="Heading1Char"/>
    <w:uiPriority w:val="9"/>
    <w:qFormat/>
    <w:rsid w:val="007A0F57"/>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unhideWhenUsed/>
    <w:rsid w:val="005E0CC0"/>
    <w:pPr>
      <w:spacing w:before="195"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 w:type="paragraph" w:customStyle="1" w:styleId="3-NormalYaz">
    <w:name w:val="3-Normal Yazı"/>
    <w:rsid w:val="00BC543D"/>
    <w:pPr>
      <w:tabs>
        <w:tab w:val="left" w:pos="566"/>
      </w:tabs>
      <w:spacing w:after="0" w:line="240" w:lineRule="auto"/>
      <w:jc w:val="both"/>
    </w:pPr>
    <w:rPr>
      <w:rFonts w:ascii="Times New Roman" w:eastAsia="ヒラギノ明朝 Pro W3" w:hAnsi="Times" w:cs="Times New Roman"/>
      <w:sz w:val="19"/>
      <w:szCs w:val="20"/>
    </w:rPr>
  </w:style>
  <w:style w:type="character" w:styleId="FollowedHyperlink">
    <w:name w:val="FollowedHyperlink"/>
    <w:basedOn w:val="DefaultParagraphFont"/>
    <w:uiPriority w:val="99"/>
    <w:semiHidden/>
    <w:unhideWhenUsed/>
    <w:rsid w:val="00A515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172">
      <w:bodyDiv w:val="1"/>
      <w:marLeft w:val="0"/>
      <w:marRight w:val="0"/>
      <w:marTop w:val="0"/>
      <w:marBottom w:val="0"/>
      <w:divBdr>
        <w:top w:val="none" w:sz="0" w:space="0" w:color="auto"/>
        <w:left w:val="none" w:sz="0" w:space="0" w:color="auto"/>
        <w:bottom w:val="none" w:sz="0" w:space="0" w:color="auto"/>
        <w:right w:val="none" w:sz="0" w:space="0" w:color="auto"/>
      </w:divBdr>
    </w:div>
    <w:div w:id="188416212">
      <w:bodyDiv w:val="1"/>
      <w:marLeft w:val="0"/>
      <w:marRight w:val="0"/>
      <w:marTop w:val="0"/>
      <w:marBottom w:val="0"/>
      <w:divBdr>
        <w:top w:val="none" w:sz="0" w:space="0" w:color="auto"/>
        <w:left w:val="none" w:sz="0" w:space="0" w:color="auto"/>
        <w:bottom w:val="none" w:sz="0" w:space="0" w:color="auto"/>
        <w:right w:val="none" w:sz="0" w:space="0" w:color="auto"/>
      </w:divBdr>
    </w:div>
    <w:div w:id="199976062">
      <w:bodyDiv w:val="1"/>
      <w:marLeft w:val="0"/>
      <w:marRight w:val="0"/>
      <w:marTop w:val="0"/>
      <w:marBottom w:val="0"/>
      <w:divBdr>
        <w:top w:val="none" w:sz="0" w:space="0" w:color="auto"/>
        <w:left w:val="none" w:sz="0" w:space="0" w:color="auto"/>
        <w:bottom w:val="none" w:sz="0" w:space="0" w:color="auto"/>
        <w:right w:val="none" w:sz="0" w:space="0" w:color="auto"/>
      </w:divBdr>
    </w:div>
    <w:div w:id="254048695">
      <w:bodyDiv w:val="1"/>
      <w:marLeft w:val="0"/>
      <w:marRight w:val="0"/>
      <w:marTop w:val="0"/>
      <w:marBottom w:val="0"/>
      <w:divBdr>
        <w:top w:val="none" w:sz="0" w:space="0" w:color="auto"/>
        <w:left w:val="none" w:sz="0" w:space="0" w:color="auto"/>
        <w:bottom w:val="none" w:sz="0" w:space="0" w:color="auto"/>
        <w:right w:val="none" w:sz="0" w:space="0" w:color="auto"/>
      </w:divBdr>
    </w:div>
    <w:div w:id="258293127">
      <w:bodyDiv w:val="1"/>
      <w:marLeft w:val="0"/>
      <w:marRight w:val="0"/>
      <w:marTop w:val="0"/>
      <w:marBottom w:val="0"/>
      <w:divBdr>
        <w:top w:val="none" w:sz="0" w:space="0" w:color="auto"/>
        <w:left w:val="none" w:sz="0" w:space="0" w:color="auto"/>
        <w:bottom w:val="none" w:sz="0" w:space="0" w:color="auto"/>
        <w:right w:val="none" w:sz="0" w:space="0" w:color="auto"/>
      </w:divBdr>
    </w:div>
    <w:div w:id="291518993">
      <w:bodyDiv w:val="1"/>
      <w:marLeft w:val="0"/>
      <w:marRight w:val="0"/>
      <w:marTop w:val="0"/>
      <w:marBottom w:val="0"/>
      <w:divBdr>
        <w:top w:val="none" w:sz="0" w:space="0" w:color="auto"/>
        <w:left w:val="none" w:sz="0" w:space="0" w:color="auto"/>
        <w:bottom w:val="none" w:sz="0" w:space="0" w:color="auto"/>
        <w:right w:val="none" w:sz="0" w:space="0" w:color="auto"/>
      </w:divBdr>
    </w:div>
    <w:div w:id="331181421">
      <w:bodyDiv w:val="1"/>
      <w:marLeft w:val="0"/>
      <w:marRight w:val="0"/>
      <w:marTop w:val="0"/>
      <w:marBottom w:val="0"/>
      <w:divBdr>
        <w:top w:val="none" w:sz="0" w:space="0" w:color="auto"/>
        <w:left w:val="none" w:sz="0" w:space="0" w:color="auto"/>
        <w:bottom w:val="none" w:sz="0" w:space="0" w:color="auto"/>
        <w:right w:val="none" w:sz="0" w:space="0" w:color="auto"/>
      </w:divBdr>
    </w:div>
    <w:div w:id="366416583">
      <w:bodyDiv w:val="1"/>
      <w:marLeft w:val="450"/>
      <w:marRight w:val="450"/>
      <w:marTop w:val="450"/>
      <w:marBottom w:val="450"/>
      <w:divBdr>
        <w:top w:val="none" w:sz="0" w:space="0" w:color="auto"/>
        <w:left w:val="none" w:sz="0" w:space="0" w:color="auto"/>
        <w:bottom w:val="none" w:sz="0" w:space="0" w:color="auto"/>
        <w:right w:val="none" w:sz="0" w:space="0" w:color="auto"/>
      </w:divBdr>
    </w:div>
    <w:div w:id="412093224">
      <w:bodyDiv w:val="1"/>
      <w:marLeft w:val="0"/>
      <w:marRight w:val="0"/>
      <w:marTop w:val="0"/>
      <w:marBottom w:val="0"/>
      <w:divBdr>
        <w:top w:val="none" w:sz="0" w:space="0" w:color="auto"/>
        <w:left w:val="none" w:sz="0" w:space="0" w:color="auto"/>
        <w:bottom w:val="none" w:sz="0" w:space="0" w:color="auto"/>
        <w:right w:val="none" w:sz="0" w:space="0" w:color="auto"/>
      </w:divBdr>
    </w:div>
    <w:div w:id="452988488">
      <w:bodyDiv w:val="1"/>
      <w:marLeft w:val="0"/>
      <w:marRight w:val="0"/>
      <w:marTop w:val="0"/>
      <w:marBottom w:val="0"/>
      <w:divBdr>
        <w:top w:val="none" w:sz="0" w:space="0" w:color="auto"/>
        <w:left w:val="none" w:sz="0" w:space="0" w:color="auto"/>
        <w:bottom w:val="none" w:sz="0" w:space="0" w:color="auto"/>
        <w:right w:val="none" w:sz="0" w:space="0" w:color="auto"/>
      </w:divBdr>
    </w:div>
    <w:div w:id="455376238">
      <w:bodyDiv w:val="1"/>
      <w:marLeft w:val="0"/>
      <w:marRight w:val="0"/>
      <w:marTop w:val="0"/>
      <w:marBottom w:val="0"/>
      <w:divBdr>
        <w:top w:val="none" w:sz="0" w:space="0" w:color="auto"/>
        <w:left w:val="none" w:sz="0" w:space="0" w:color="auto"/>
        <w:bottom w:val="none" w:sz="0" w:space="0" w:color="auto"/>
        <w:right w:val="none" w:sz="0" w:space="0" w:color="auto"/>
      </w:divBdr>
      <w:divsChild>
        <w:div w:id="1328631734">
          <w:marLeft w:val="0"/>
          <w:marRight w:val="0"/>
          <w:marTop w:val="0"/>
          <w:marBottom w:val="0"/>
          <w:divBdr>
            <w:top w:val="none" w:sz="0" w:space="0" w:color="auto"/>
            <w:left w:val="none" w:sz="0" w:space="0" w:color="auto"/>
            <w:bottom w:val="none" w:sz="0" w:space="0" w:color="auto"/>
            <w:right w:val="none" w:sz="0" w:space="0" w:color="auto"/>
          </w:divBdr>
          <w:divsChild>
            <w:div w:id="1792240373">
              <w:marLeft w:val="0"/>
              <w:marRight w:val="0"/>
              <w:marTop w:val="0"/>
              <w:marBottom w:val="0"/>
              <w:divBdr>
                <w:top w:val="none" w:sz="0" w:space="0" w:color="auto"/>
                <w:left w:val="none" w:sz="0" w:space="0" w:color="auto"/>
                <w:bottom w:val="none" w:sz="0" w:space="0" w:color="auto"/>
                <w:right w:val="none" w:sz="0" w:space="0" w:color="auto"/>
              </w:divBdr>
              <w:divsChild>
                <w:div w:id="13691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170">
      <w:bodyDiv w:val="1"/>
      <w:marLeft w:val="0"/>
      <w:marRight w:val="0"/>
      <w:marTop w:val="0"/>
      <w:marBottom w:val="0"/>
      <w:divBdr>
        <w:top w:val="none" w:sz="0" w:space="0" w:color="auto"/>
        <w:left w:val="none" w:sz="0" w:space="0" w:color="auto"/>
        <w:bottom w:val="none" w:sz="0" w:space="0" w:color="auto"/>
        <w:right w:val="none" w:sz="0" w:space="0" w:color="auto"/>
      </w:divBdr>
    </w:div>
    <w:div w:id="539172572">
      <w:bodyDiv w:val="1"/>
      <w:marLeft w:val="0"/>
      <w:marRight w:val="0"/>
      <w:marTop w:val="0"/>
      <w:marBottom w:val="0"/>
      <w:divBdr>
        <w:top w:val="none" w:sz="0" w:space="0" w:color="auto"/>
        <w:left w:val="none" w:sz="0" w:space="0" w:color="auto"/>
        <w:bottom w:val="none" w:sz="0" w:space="0" w:color="auto"/>
        <w:right w:val="none" w:sz="0" w:space="0" w:color="auto"/>
      </w:divBdr>
    </w:div>
    <w:div w:id="709038441">
      <w:bodyDiv w:val="1"/>
      <w:marLeft w:val="0"/>
      <w:marRight w:val="0"/>
      <w:marTop w:val="0"/>
      <w:marBottom w:val="0"/>
      <w:divBdr>
        <w:top w:val="none" w:sz="0" w:space="0" w:color="auto"/>
        <w:left w:val="none" w:sz="0" w:space="0" w:color="auto"/>
        <w:bottom w:val="none" w:sz="0" w:space="0" w:color="auto"/>
        <w:right w:val="none" w:sz="0" w:space="0" w:color="auto"/>
      </w:divBdr>
      <w:divsChild>
        <w:div w:id="415059852">
          <w:marLeft w:val="0"/>
          <w:marRight w:val="0"/>
          <w:marTop w:val="0"/>
          <w:marBottom w:val="0"/>
          <w:divBdr>
            <w:top w:val="none" w:sz="0" w:space="0" w:color="auto"/>
            <w:left w:val="none" w:sz="0" w:space="0" w:color="auto"/>
            <w:bottom w:val="none" w:sz="0" w:space="0" w:color="auto"/>
            <w:right w:val="none" w:sz="0" w:space="0" w:color="auto"/>
          </w:divBdr>
          <w:divsChild>
            <w:div w:id="14663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94864">
      <w:bodyDiv w:val="1"/>
      <w:marLeft w:val="0"/>
      <w:marRight w:val="0"/>
      <w:marTop w:val="0"/>
      <w:marBottom w:val="0"/>
      <w:divBdr>
        <w:top w:val="none" w:sz="0" w:space="0" w:color="auto"/>
        <w:left w:val="none" w:sz="0" w:space="0" w:color="auto"/>
        <w:bottom w:val="none" w:sz="0" w:space="0" w:color="auto"/>
        <w:right w:val="none" w:sz="0" w:space="0" w:color="auto"/>
      </w:divBdr>
    </w:div>
    <w:div w:id="801117643">
      <w:bodyDiv w:val="1"/>
      <w:marLeft w:val="0"/>
      <w:marRight w:val="0"/>
      <w:marTop w:val="0"/>
      <w:marBottom w:val="0"/>
      <w:divBdr>
        <w:top w:val="none" w:sz="0" w:space="0" w:color="auto"/>
        <w:left w:val="none" w:sz="0" w:space="0" w:color="auto"/>
        <w:bottom w:val="none" w:sz="0" w:space="0" w:color="auto"/>
        <w:right w:val="none" w:sz="0" w:space="0" w:color="auto"/>
      </w:divBdr>
    </w:div>
    <w:div w:id="880748728">
      <w:bodyDiv w:val="1"/>
      <w:marLeft w:val="0"/>
      <w:marRight w:val="0"/>
      <w:marTop w:val="0"/>
      <w:marBottom w:val="0"/>
      <w:divBdr>
        <w:top w:val="none" w:sz="0" w:space="0" w:color="auto"/>
        <w:left w:val="none" w:sz="0" w:space="0" w:color="auto"/>
        <w:bottom w:val="none" w:sz="0" w:space="0" w:color="auto"/>
        <w:right w:val="none" w:sz="0" w:space="0" w:color="auto"/>
      </w:divBdr>
    </w:div>
    <w:div w:id="954361343">
      <w:bodyDiv w:val="1"/>
      <w:marLeft w:val="0"/>
      <w:marRight w:val="0"/>
      <w:marTop w:val="0"/>
      <w:marBottom w:val="0"/>
      <w:divBdr>
        <w:top w:val="none" w:sz="0" w:space="0" w:color="auto"/>
        <w:left w:val="none" w:sz="0" w:space="0" w:color="auto"/>
        <w:bottom w:val="none" w:sz="0" w:space="0" w:color="auto"/>
        <w:right w:val="none" w:sz="0" w:space="0" w:color="auto"/>
      </w:divBdr>
    </w:div>
    <w:div w:id="1072124778">
      <w:bodyDiv w:val="1"/>
      <w:marLeft w:val="0"/>
      <w:marRight w:val="0"/>
      <w:marTop w:val="0"/>
      <w:marBottom w:val="0"/>
      <w:divBdr>
        <w:top w:val="none" w:sz="0" w:space="0" w:color="auto"/>
        <w:left w:val="none" w:sz="0" w:space="0" w:color="auto"/>
        <w:bottom w:val="none" w:sz="0" w:space="0" w:color="auto"/>
        <w:right w:val="none" w:sz="0" w:space="0" w:color="auto"/>
      </w:divBdr>
    </w:div>
    <w:div w:id="1093277723">
      <w:bodyDiv w:val="1"/>
      <w:marLeft w:val="0"/>
      <w:marRight w:val="0"/>
      <w:marTop w:val="0"/>
      <w:marBottom w:val="0"/>
      <w:divBdr>
        <w:top w:val="none" w:sz="0" w:space="0" w:color="auto"/>
        <w:left w:val="none" w:sz="0" w:space="0" w:color="auto"/>
        <w:bottom w:val="none" w:sz="0" w:space="0" w:color="auto"/>
        <w:right w:val="none" w:sz="0" w:space="0" w:color="auto"/>
      </w:divBdr>
    </w:div>
    <w:div w:id="1102145230">
      <w:bodyDiv w:val="1"/>
      <w:marLeft w:val="0"/>
      <w:marRight w:val="0"/>
      <w:marTop w:val="0"/>
      <w:marBottom w:val="0"/>
      <w:divBdr>
        <w:top w:val="none" w:sz="0" w:space="0" w:color="auto"/>
        <w:left w:val="none" w:sz="0" w:space="0" w:color="auto"/>
        <w:bottom w:val="none" w:sz="0" w:space="0" w:color="auto"/>
        <w:right w:val="none" w:sz="0" w:space="0" w:color="auto"/>
      </w:divBdr>
    </w:div>
    <w:div w:id="1206286219">
      <w:bodyDiv w:val="1"/>
      <w:marLeft w:val="0"/>
      <w:marRight w:val="0"/>
      <w:marTop w:val="0"/>
      <w:marBottom w:val="0"/>
      <w:divBdr>
        <w:top w:val="none" w:sz="0" w:space="0" w:color="auto"/>
        <w:left w:val="none" w:sz="0" w:space="0" w:color="auto"/>
        <w:bottom w:val="none" w:sz="0" w:space="0" w:color="auto"/>
        <w:right w:val="none" w:sz="0" w:space="0" w:color="auto"/>
      </w:divBdr>
    </w:div>
    <w:div w:id="1207991479">
      <w:bodyDiv w:val="1"/>
      <w:marLeft w:val="0"/>
      <w:marRight w:val="0"/>
      <w:marTop w:val="0"/>
      <w:marBottom w:val="0"/>
      <w:divBdr>
        <w:top w:val="none" w:sz="0" w:space="0" w:color="auto"/>
        <w:left w:val="none" w:sz="0" w:space="0" w:color="auto"/>
        <w:bottom w:val="none" w:sz="0" w:space="0" w:color="auto"/>
        <w:right w:val="none" w:sz="0" w:space="0" w:color="auto"/>
      </w:divBdr>
    </w:div>
    <w:div w:id="1255283659">
      <w:bodyDiv w:val="1"/>
      <w:marLeft w:val="0"/>
      <w:marRight w:val="0"/>
      <w:marTop w:val="0"/>
      <w:marBottom w:val="0"/>
      <w:divBdr>
        <w:top w:val="none" w:sz="0" w:space="0" w:color="auto"/>
        <w:left w:val="none" w:sz="0" w:space="0" w:color="auto"/>
        <w:bottom w:val="none" w:sz="0" w:space="0" w:color="auto"/>
        <w:right w:val="none" w:sz="0" w:space="0" w:color="auto"/>
      </w:divBdr>
      <w:divsChild>
        <w:div w:id="1447582920">
          <w:marLeft w:val="0"/>
          <w:marRight w:val="0"/>
          <w:marTop w:val="0"/>
          <w:marBottom w:val="0"/>
          <w:divBdr>
            <w:top w:val="none" w:sz="0" w:space="0" w:color="auto"/>
            <w:left w:val="none" w:sz="0" w:space="0" w:color="auto"/>
            <w:bottom w:val="none" w:sz="0" w:space="0" w:color="auto"/>
            <w:right w:val="none" w:sz="0" w:space="0" w:color="auto"/>
          </w:divBdr>
          <w:divsChild>
            <w:div w:id="6505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1795">
      <w:bodyDiv w:val="1"/>
      <w:marLeft w:val="0"/>
      <w:marRight w:val="0"/>
      <w:marTop w:val="0"/>
      <w:marBottom w:val="0"/>
      <w:divBdr>
        <w:top w:val="none" w:sz="0" w:space="0" w:color="auto"/>
        <w:left w:val="none" w:sz="0" w:space="0" w:color="auto"/>
        <w:bottom w:val="none" w:sz="0" w:space="0" w:color="auto"/>
        <w:right w:val="none" w:sz="0" w:space="0" w:color="auto"/>
      </w:divBdr>
    </w:div>
    <w:div w:id="1309479490">
      <w:bodyDiv w:val="1"/>
      <w:marLeft w:val="0"/>
      <w:marRight w:val="0"/>
      <w:marTop w:val="0"/>
      <w:marBottom w:val="0"/>
      <w:divBdr>
        <w:top w:val="none" w:sz="0" w:space="0" w:color="auto"/>
        <w:left w:val="none" w:sz="0" w:space="0" w:color="auto"/>
        <w:bottom w:val="none" w:sz="0" w:space="0" w:color="auto"/>
        <w:right w:val="none" w:sz="0" w:space="0" w:color="auto"/>
      </w:divBdr>
    </w:div>
    <w:div w:id="1356611929">
      <w:bodyDiv w:val="1"/>
      <w:marLeft w:val="0"/>
      <w:marRight w:val="0"/>
      <w:marTop w:val="0"/>
      <w:marBottom w:val="0"/>
      <w:divBdr>
        <w:top w:val="none" w:sz="0" w:space="0" w:color="auto"/>
        <w:left w:val="none" w:sz="0" w:space="0" w:color="auto"/>
        <w:bottom w:val="none" w:sz="0" w:space="0" w:color="auto"/>
        <w:right w:val="none" w:sz="0" w:space="0" w:color="auto"/>
      </w:divBdr>
    </w:div>
    <w:div w:id="1415250362">
      <w:bodyDiv w:val="1"/>
      <w:marLeft w:val="0"/>
      <w:marRight w:val="0"/>
      <w:marTop w:val="0"/>
      <w:marBottom w:val="0"/>
      <w:divBdr>
        <w:top w:val="none" w:sz="0" w:space="0" w:color="auto"/>
        <w:left w:val="none" w:sz="0" w:space="0" w:color="auto"/>
        <w:bottom w:val="none" w:sz="0" w:space="0" w:color="auto"/>
        <w:right w:val="none" w:sz="0" w:space="0" w:color="auto"/>
      </w:divBdr>
    </w:div>
    <w:div w:id="1600872352">
      <w:bodyDiv w:val="1"/>
      <w:marLeft w:val="0"/>
      <w:marRight w:val="0"/>
      <w:marTop w:val="0"/>
      <w:marBottom w:val="0"/>
      <w:divBdr>
        <w:top w:val="none" w:sz="0" w:space="0" w:color="auto"/>
        <w:left w:val="none" w:sz="0" w:space="0" w:color="auto"/>
        <w:bottom w:val="none" w:sz="0" w:space="0" w:color="auto"/>
        <w:right w:val="none" w:sz="0" w:space="0" w:color="auto"/>
      </w:divBdr>
    </w:div>
    <w:div w:id="1683505273">
      <w:bodyDiv w:val="1"/>
      <w:marLeft w:val="0"/>
      <w:marRight w:val="0"/>
      <w:marTop w:val="0"/>
      <w:marBottom w:val="0"/>
      <w:divBdr>
        <w:top w:val="none" w:sz="0" w:space="0" w:color="auto"/>
        <w:left w:val="none" w:sz="0" w:space="0" w:color="auto"/>
        <w:bottom w:val="none" w:sz="0" w:space="0" w:color="auto"/>
        <w:right w:val="none" w:sz="0" w:space="0" w:color="auto"/>
      </w:divBdr>
    </w:div>
    <w:div w:id="1686513362">
      <w:bodyDiv w:val="1"/>
      <w:marLeft w:val="0"/>
      <w:marRight w:val="0"/>
      <w:marTop w:val="0"/>
      <w:marBottom w:val="0"/>
      <w:divBdr>
        <w:top w:val="none" w:sz="0" w:space="0" w:color="auto"/>
        <w:left w:val="none" w:sz="0" w:space="0" w:color="auto"/>
        <w:bottom w:val="none" w:sz="0" w:space="0" w:color="auto"/>
        <w:right w:val="none" w:sz="0" w:space="0" w:color="auto"/>
      </w:divBdr>
    </w:div>
    <w:div w:id="1714649847">
      <w:bodyDiv w:val="1"/>
      <w:marLeft w:val="0"/>
      <w:marRight w:val="0"/>
      <w:marTop w:val="0"/>
      <w:marBottom w:val="0"/>
      <w:divBdr>
        <w:top w:val="none" w:sz="0" w:space="0" w:color="auto"/>
        <w:left w:val="none" w:sz="0" w:space="0" w:color="auto"/>
        <w:bottom w:val="none" w:sz="0" w:space="0" w:color="auto"/>
        <w:right w:val="none" w:sz="0" w:space="0" w:color="auto"/>
      </w:divBdr>
      <w:divsChild>
        <w:div w:id="395247811">
          <w:marLeft w:val="0"/>
          <w:marRight w:val="0"/>
          <w:marTop w:val="0"/>
          <w:marBottom w:val="0"/>
          <w:divBdr>
            <w:top w:val="none" w:sz="0" w:space="0" w:color="auto"/>
            <w:left w:val="none" w:sz="0" w:space="0" w:color="auto"/>
            <w:bottom w:val="none" w:sz="0" w:space="0" w:color="auto"/>
            <w:right w:val="none" w:sz="0" w:space="0" w:color="auto"/>
          </w:divBdr>
          <w:divsChild>
            <w:div w:id="3192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9889">
      <w:bodyDiv w:val="1"/>
      <w:marLeft w:val="0"/>
      <w:marRight w:val="0"/>
      <w:marTop w:val="0"/>
      <w:marBottom w:val="0"/>
      <w:divBdr>
        <w:top w:val="none" w:sz="0" w:space="0" w:color="auto"/>
        <w:left w:val="none" w:sz="0" w:space="0" w:color="auto"/>
        <w:bottom w:val="none" w:sz="0" w:space="0" w:color="auto"/>
        <w:right w:val="none" w:sz="0" w:space="0" w:color="auto"/>
      </w:divBdr>
    </w:div>
    <w:div w:id="1793358290">
      <w:bodyDiv w:val="1"/>
      <w:marLeft w:val="0"/>
      <w:marRight w:val="0"/>
      <w:marTop w:val="0"/>
      <w:marBottom w:val="0"/>
      <w:divBdr>
        <w:top w:val="none" w:sz="0" w:space="0" w:color="auto"/>
        <w:left w:val="none" w:sz="0" w:space="0" w:color="auto"/>
        <w:bottom w:val="none" w:sz="0" w:space="0" w:color="auto"/>
        <w:right w:val="none" w:sz="0" w:space="0" w:color="auto"/>
      </w:divBdr>
    </w:div>
    <w:div w:id="1864434920">
      <w:bodyDiv w:val="1"/>
      <w:marLeft w:val="0"/>
      <w:marRight w:val="0"/>
      <w:marTop w:val="0"/>
      <w:marBottom w:val="0"/>
      <w:divBdr>
        <w:top w:val="none" w:sz="0" w:space="0" w:color="auto"/>
        <w:left w:val="none" w:sz="0" w:space="0" w:color="auto"/>
        <w:bottom w:val="none" w:sz="0" w:space="0" w:color="auto"/>
        <w:right w:val="none" w:sz="0" w:space="0" w:color="auto"/>
      </w:divBdr>
    </w:div>
    <w:div w:id="1910381327">
      <w:bodyDiv w:val="1"/>
      <w:marLeft w:val="0"/>
      <w:marRight w:val="0"/>
      <w:marTop w:val="0"/>
      <w:marBottom w:val="0"/>
      <w:divBdr>
        <w:top w:val="none" w:sz="0" w:space="0" w:color="auto"/>
        <w:left w:val="none" w:sz="0" w:space="0" w:color="auto"/>
        <w:bottom w:val="none" w:sz="0" w:space="0" w:color="auto"/>
        <w:right w:val="none" w:sz="0" w:space="0" w:color="auto"/>
      </w:divBdr>
    </w:div>
    <w:div w:id="2056928039">
      <w:bodyDiv w:val="1"/>
      <w:marLeft w:val="0"/>
      <w:marRight w:val="0"/>
      <w:marTop w:val="0"/>
      <w:marBottom w:val="0"/>
      <w:divBdr>
        <w:top w:val="none" w:sz="0" w:space="0" w:color="auto"/>
        <w:left w:val="none" w:sz="0" w:space="0" w:color="auto"/>
        <w:bottom w:val="none" w:sz="0" w:space="0" w:color="auto"/>
        <w:right w:val="none" w:sz="0" w:space="0" w:color="auto"/>
      </w:divBdr>
    </w:div>
    <w:div w:id="2083675018">
      <w:bodyDiv w:val="1"/>
      <w:marLeft w:val="0"/>
      <w:marRight w:val="0"/>
      <w:marTop w:val="0"/>
      <w:marBottom w:val="0"/>
      <w:divBdr>
        <w:top w:val="none" w:sz="0" w:space="0" w:color="auto"/>
        <w:left w:val="none" w:sz="0" w:space="0" w:color="auto"/>
        <w:bottom w:val="none" w:sz="0" w:space="0" w:color="auto"/>
        <w:right w:val="none" w:sz="0" w:space="0" w:color="auto"/>
      </w:divBdr>
    </w:div>
    <w:div w:id="2142383023">
      <w:bodyDiv w:val="1"/>
      <w:marLeft w:val="0"/>
      <w:marRight w:val="0"/>
      <w:marTop w:val="0"/>
      <w:marBottom w:val="0"/>
      <w:divBdr>
        <w:top w:val="none" w:sz="0" w:space="0" w:color="auto"/>
        <w:left w:val="none" w:sz="0" w:space="0" w:color="auto"/>
        <w:bottom w:val="none" w:sz="0" w:space="0" w:color="auto"/>
        <w:right w:val="none" w:sz="0" w:space="0" w:color="auto"/>
      </w:divBdr>
      <w:divsChild>
        <w:div w:id="401681551">
          <w:marLeft w:val="0"/>
          <w:marRight w:val="0"/>
          <w:marTop w:val="0"/>
          <w:marBottom w:val="0"/>
          <w:divBdr>
            <w:top w:val="none" w:sz="0" w:space="0" w:color="auto"/>
            <w:left w:val="none" w:sz="0" w:space="0" w:color="auto"/>
            <w:bottom w:val="none" w:sz="0" w:space="0" w:color="auto"/>
            <w:right w:val="none" w:sz="0" w:space="0" w:color="auto"/>
          </w:divBdr>
          <w:divsChild>
            <w:div w:id="832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A37B3-862A-4221-829F-4CDB98FF9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BernaB</dc:creator>
  <cp:lastModifiedBy>CE</cp:lastModifiedBy>
  <cp:revision>2</cp:revision>
  <dcterms:created xsi:type="dcterms:W3CDTF">2012-10-19T10:26:00Z</dcterms:created>
  <dcterms:modified xsi:type="dcterms:W3CDTF">2012-10-19T10:26:00Z</dcterms:modified>
</cp:coreProperties>
</file>