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D6" w:rsidRDefault="004419D6" w:rsidP="004419D6">
      <w:pPr>
        <w:spacing w:before="240"/>
        <w:jc w:val="both"/>
        <w:rPr>
          <w:rFonts w:ascii="Times New Roman" w:hAnsi="Times New Roman" w:cs="Times New Roman"/>
          <w:b/>
          <w:bCs/>
          <w:color w:val="4F81BD"/>
          <w:sz w:val="26"/>
          <w:szCs w:val="26"/>
        </w:rPr>
      </w:pPr>
      <w:bookmarkStart w:id="0" w:name="_GoBack"/>
      <w:bookmarkEnd w:id="0"/>
      <w:r>
        <w:rPr>
          <w:rFonts w:ascii="Times New Roman" w:hAnsi="Times New Roman" w:cs="Times New Roman"/>
          <w:b/>
          <w:bCs/>
          <w:color w:val="4F81BD"/>
          <w:sz w:val="26"/>
          <w:szCs w:val="26"/>
        </w:rPr>
        <w:t>İş Sağlığı ve Güvenliği Kanunu</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30 Haziran 2012 Tarihli ve 28339 Sayılı Resmi Gazetede işyerlerinde iş sağlığı ve güvenliğinin sağlanması ve mevcut sağlık ve güvenlik şartlarının iyileştirilmesi için işveren ve çalışanların görev, yetki, sorumluluk, hak ve yükümlülüklerini düzenlemek üzere 6331 Sayılı İş Sağlığı ve Güvenliği Kanunu yayımlanmıştır.</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 xml:space="preserve">Bilindiği üzere mevcut 4857 Sayılı İş Kanununda devamlı olarak en az elli işçi çalıştıran işverenlerin işyerlerinde alınması gereken iş sağlığı ve güvenliği önlemlerine yönelik düzenlemeler mevcuttur. </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 xml:space="preserve">Buna göre işverenlerin; iş kazası ve meslek hastalıklarının önlenmesi, işçilerin ilk yardım ve acil tedavi ile koruyucu sağlık ve güvenlik hizmetlerinin yürütülmesi amacıyla, işyerindeki işçi sayısı, işyerinin niteliği ve işin tehlike sınıf ve derecesine göre; </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 a)      İşyeri sağlık ve güvenlik birimi oluşturması</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b)      Bir veya birden fazla işyeri hekimi ile gereğinde diğer sağlık personelini görevlendirmesi,</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c)       Sanayiden sayılan işlerde iş güvenliği uzmanı olan bir veya birden fazla mühendis veya teknik elemanı görevlendirmesi zorunlu kılınmıştır.</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İşverenin bu yükümlülüklere uymaması halinde ise 2012 yılı başında 1.358 TL (2012 yılı için güncel tutar 1.250 TL) idari para cezası öngörülmüştür.</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30 Haziran 2012 Tarihinde yayımlanan İş Sağlığı ve Güvenliği Kanununa göre ise;</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Mesleki risklerin önlenmesi ve bu risklerden korunmaya yönelik çalışmaları da kapsayacak şekilde, iş sağlığı ve güvenliği hizmetlerinin sunulması için işverenin çalışanları arasından iş güvenliği uzmanı, işyeri hekimi ve diğer sağlık personeli görevlendireceği belirtilmiştir. İşverenlerin, çalışanları arasında belirlenen niteliklere sahip personel bulunmaması hâlinde, bu hizmetin tamamını veya bir kısmını ortak sağlık ve güvenlik birimlerinden hizmet alarak yerine getirebileceği, tam süreli işyeri hekimi görevlendirilen işyerlerinde, diğer sağlık personeli görevlendirilmesinin zorunlu olmadığı hükme bağlanmıştır.</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Kanunun ilgili maddesi;</w:t>
      </w:r>
    </w:p>
    <w:p w:rsidR="004419D6" w:rsidRDefault="004419D6" w:rsidP="004419D6">
      <w:pPr>
        <w:pStyle w:val="ListParagraph"/>
        <w:numPr>
          <w:ilvl w:val="0"/>
          <w:numId w:val="39"/>
        </w:numPr>
        <w:spacing w:before="240" w:after="200"/>
        <w:jc w:val="both"/>
        <w:rPr>
          <w:rFonts w:ascii="Times New Roman" w:hAnsi="Times New Roman" w:cs="Times New Roman"/>
          <w:color w:val="000000"/>
        </w:rPr>
      </w:pPr>
      <w:r>
        <w:rPr>
          <w:rFonts w:ascii="Times New Roman" w:hAnsi="Times New Roman" w:cs="Times New Roman"/>
          <w:color w:val="000000"/>
        </w:rPr>
        <w:t>Kamu kurumları ile 50’den az çalışanı olan ve az tehlikeli sınıfta yer alan işyerleri için yayımı tarihinden itibaren iki yıl sonra,</w:t>
      </w:r>
    </w:p>
    <w:p w:rsidR="004419D6" w:rsidRDefault="004419D6" w:rsidP="004419D6">
      <w:pPr>
        <w:pStyle w:val="ListParagraph"/>
        <w:numPr>
          <w:ilvl w:val="0"/>
          <w:numId w:val="39"/>
        </w:numPr>
        <w:spacing w:before="240" w:after="200"/>
        <w:jc w:val="both"/>
        <w:rPr>
          <w:rFonts w:ascii="Times New Roman" w:hAnsi="Times New Roman" w:cs="Times New Roman"/>
          <w:color w:val="000000"/>
        </w:rPr>
      </w:pPr>
      <w:r>
        <w:rPr>
          <w:rFonts w:ascii="Times New Roman" w:hAnsi="Times New Roman" w:cs="Times New Roman"/>
          <w:color w:val="000000"/>
        </w:rPr>
        <w:t>50’den az çalışanı olan tehlikeli ve çok tehlikeli sınıfta yer alan işyerleri için yayımı tarihinden itibaren bir yıl sonra,</w:t>
      </w:r>
    </w:p>
    <w:p w:rsidR="004419D6" w:rsidRDefault="004419D6" w:rsidP="004419D6">
      <w:pPr>
        <w:pStyle w:val="ListParagraph"/>
        <w:numPr>
          <w:ilvl w:val="0"/>
          <w:numId w:val="39"/>
        </w:numPr>
        <w:spacing w:before="240" w:after="200"/>
        <w:jc w:val="both"/>
        <w:rPr>
          <w:rFonts w:ascii="Times New Roman" w:hAnsi="Times New Roman" w:cs="Times New Roman"/>
          <w:color w:val="000000"/>
        </w:rPr>
      </w:pPr>
      <w:r>
        <w:rPr>
          <w:rFonts w:ascii="Times New Roman" w:hAnsi="Times New Roman" w:cs="Times New Roman"/>
          <w:color w:val="000000"/>
        </w:rPr>
        <w:t>Diğer işyerleri için ise yayımı tarihinden itibaren altı ay sonra yürürlüğe girecektir.</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Belirlenen zorunluluklara uyulmamasının cezası da Kanunda yer almaktadır. Buna göre; belirlenen nitelikte iş güvenliği uzmanı veya işyeri hekimi görevlendirmeyen işverene görevlendirmediği her bir kişi için beş bin Türk Lirası öngörülmüştür.</w:t>
      </w:r>
    </w:p>
    <w:p w:rsid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 xml:space="preserve">Kanunun ilgili hükmü 50’den fazla çalışanı olan kurumlar için 1 Ocak 2013’ten itibaren yürürlüğe girecek olup; ilgili tarihe kadar yazımızın girişinde yer verdiğimiz mevcut İş Kanunu hükümleri geçerliliğini koruyacaktır. </w:t>
      </w:r>
    </w:p>
    <w:p w:rsidR="004419D6" w:rsidRPr="004419D6" w:rsidRDefault="004419D6" w:rsidP="004419D6">
      <w:pPr>
        <w:spacing w:before="240"/>
        <w:jc w:val="both"/>
        <w:rPr>
          <w:rFonts w:ascii="Times New Roman" w:hAnsi="Times New Roman" w:cs="Times New Roman"/>
          <w:color w:val="000000"/>
        </w:rPr>
      </w:pPr>
      <w:r>
        <w:rPr>
          <w:rFonts w:ascii="Times New Roman" w:hAnsi="Times New Roman" w:cs="Times New Roman"/>
          <w:color w:val="000000"/>
        </w:rPr>
        <w:t>Saygılarımızla,</w:t>
      </w:r>
    </w:p>
    <w:p w:rsidR="005F6332" w:rsidRPr="004419D6" w:rsidRDefault="005F6332" w:rsidP="004419D6"/>
    <w:sectPr w:rsidR="005F6332" w:rsidRPr="004419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FA" w:rsidRDefault="002A7DFA" w:rsidP="00A71FB3">
      <w:r>
        <w:separator/>
      </w:r>
    </w:p>
  </w:endnote>
  <w:endnote w:type="continuationSeparator" w:id="0">
    <w:p w:rsidR="002A7DFA" w:rsidRDefault="002A7DFA"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FA" w:rsidRDefault="002A7DFA" w:rsidP="00A71FB3">
      <w:r>
        <w:separator/>
      </w:r>
    </w:p>
  </w:footnote>
  <w:footnote w:type="continuationSeparator" w:id="0">
    <w:p w:rsidR="002A7DFA" w:rsidRDefault="002A7DFA"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6564131"/>
    <w:multiLevelType w:val="hybridMultilevel"/>
    <w:tmpl w:val="32DEF5D8"/>
    <w:lvl w:ilvl="0" w:tplc="A7225D06">
      <w:start w:val="3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F7500DA"/>
    <w:multiLevelType w:val="hybridMultilevel"/>
    <w:tmpl w:val="ACD29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20"/>
  </w:num>
  <w:num w:numId="4">
    <w:abstractNumId w:val="5"/>
  </w:num>
  <w:num w:numId="5">
    <w:abstractNumId w:val="10"/>
  </w:num>
  <w:num w:numId="6">
    <w:abstractNumId w:val="11"/>
  </w:num>
  <w:num w:numId="7">
    <w:abstractNumId w:val="8"/>
  </w:num>
  <w:num w:numId="8">
    <w:abstractNumId w:val="2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2"/>
  </w:num>
  <w:num w:numId="12">
    <w:abstractNumId w:val="1"/>
  </w:num>
  <w:num w:numId="13">
    <w:abstractNumId w:val="4"/>
  </w:num>
  <w:num w:numId="14">
    <w:abstractNumId w:val="17"/>
  </w:num>
  <w:num w:numId="15">
    <w:abstractNumId w:val="18"/>
  </w:num>
  <w:num w:numId="16">
    <w:abstractNumId w:val="27"/>
  </w:num>
  <w:num w:numId="17">
    <w:abstractNumId w:val="23"/>
  </w:num>
  <w:num w:numId="18">
    <w:abstractNumId w:val="23"/>
  </w:num>
  <w:num w:numId="19">
    <w:abstractNumId w:val="29"/>
  </w:num>
  <w:num w:numId="20">
    <w:abstractNumId w:val="35"/>
  </w:num>
  <w:num w:numId="21">
    <w:abstractNumId w:val="14"/>
  </w:num>
  <w:num w:numId="22">
    <w:abstractNumId w:val="30"/>
  </w:num>
  <w:num w:numId="23">
    <w:abstractNumId w:val="0"/>
  </w:num>
  <w:num w:numId="24">
    <w:abstractNumId w:val="26"/>
  </w:num>
  <w:num w:numId="25">
    <w:abstractNumId w:val="6"/>
  </w:num>
  <w:num w:numId="26">
    <w:abstractNumId w:val="24"/>
  </w:num>
  <w:num w:numId="27">
    <w:abstractNumId w:val="28"/>
  </w:num>
  <w:num w:numId="28">
    <w:abstractNumId w:val="2"/>
  </w:num>
  <w:num w:numId="29">
    <w:abstractNumId w:val="7"/>
  </w:num>
  <w:num w:numId="30">
    <w:abstractNumId w:val="15"/>
  </w:num>
  <w:num w:numId="31">
    <w:abstractNumId w:val="31"/>
  </w:num>
  <w:num w:numId="32">
    <w:abstractNumId w:val="19"/>
  </w:num>
  <w:num w:numId="33">
    <w:abstractNumId w:val="3"/>
  </w:num>
  <w:num w:numId="34">
    <w:abstractNumId w:val="9"/>
  </w:num>
  <w:num w:numId="35">
    <w:abstractNumId w:val="16"/>
  </w:num>
  <w:num w:numId="36">
    <w:abstractNumId w:val="33"/>
  </w:num>
  <w:num w:numId="37">
    <w:abstractNumId w:val="13"/>
  </w:num>
  <w:num w:numId="38">
    <w:abstractNumId w:val="34"/>
  </w:num>
  <w:num w:numId="3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0E0BD3"/>
    <w:rsid w:val="00105516"/>
    <w:rsid w:val="001715D1"/>
    <w:rsid w:val="001A2CF6"/>
    <w:rsid w:val="001A5E50"/>
    <w:rsid w:val="001D4E07"/>
    <w:rsid w:val="001E12C6"/>
    <w:rsid w:val="00217DF3"/>
    <w:rsid w:val="00247E15"/>
    <w:rsid w:val="00261647"/>
    <w:rsid w:val="00276B44"/>
    <w:rsid w:val="002A7DFA"/>
    <w:rsid w:val="002D7C92"/>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3E4EF1"/>
    <w:rsid w:val="00403209"/>
    <w:rsid w:val="00404D5E"/>
    <w:rsid w:val="00437188"/>
    <w:rsid w:val="004419D6"/>
    <w:rsid w:val="00444CBC"/>
    <w:rsid w:val="00453754"/>
    <w:rsid w:val="00465811"/>
    <w:rsid w:val="00482BF1"/>
    <w:rsid w:val="004B0787"/>
    <w:rsid w:val="00514B59"/>
    <w:rsid w:val="00537C03"/>
    <w:rsid w:val="0054054D"/>
    <w:rsid w:val="0054396F"/>
    <w:rsid w:val="00567821"/>
    <w:rsid w:val="00574848"/>
    <w:rsid w:val="00574E67"/>
    <w:rsid w:val="0058328B"/>
    <w:rsid w:val="005D0BE3"/>
    <w:rsid w:val="005E0CC0"/>
    <w:rsid w:val="005F08CA"/>
    <w:rsid w:val="005F5A5C"/>
    <w:rsid w:val="005F6332"/>
    <w:rsid w:val="00606DAD"/>
    <w:rsid w:val="00607AF0"/>
    <w:rsid w:val="006359D0"/>
    <w:rsid w:val="00643897"/>
    <w:rsid w:val="006600B1"/>
    <w:rsid w:val="006836E6"/>
    <w:rsid w:val="006A4B28"/>
    <w:rsid w:val="006D50BA"/>
    <w:rsid w:val="006F4199"/>
    <w:rsid w:val="00730C3E"/>
    <w:rsid w:val="00733095"/>
    <w:rsid w:val="00777C75"/>
    <w:rsid w:val="00794604"/>
    <w:rsid w:val="007A0F57"/>
    <w:rsid w:val="007A4519"/>
    <w:rsid w:val="007A5F1B"/>
    <w:rsid w:val="007B01E9"/>
    <w:rsid w:val="007C3A2C"/>
    <w:rsid w:val="007D60E1"/>
    <w:rsid w:val="007D7FC8"/>
    <w:rsid w:val="007E063C"/>
    <w:rsid w:val="007E27E1"/>
    <w:rsid w:val="007E40F0"/>
    <w:rsid w:val="008045F7"/>
    <w:rsid w:val="008A5BFD"/>
    <w:rsid w:val="008B5D6D"/>
    <w:rsid w:val="008D4477"/>
    <w:rsid w:val="008D719C"/>
    <w:rsid w:val="008F3B63"/>
    <w:rsid w:val="0094311B"/>
    <w:rsid w:val="009706CB"/>
    <w:rsid w:val="009740A5"/>
    <w:rsid w:val="009916E0"/>
    <w:rsid w:val="00994CE3"/>
    <w:rsid w:val="009B7DB7"/>
    <w:rsid w:val="009C3843"/>
    <w:rsid w:val="009C789A"/>
    <w:rsid w:val="00A039D9"/>
    <w:rsid w:val="00A117F8"/>
    <w:rsid w:val="00A12856"/>
    <w:rsid w:val="00A232B0"/>
    <w:rsid w:val="00A46E5C"/>
    <w:rsid w:val="00A6782E"/>
    <w:rsid w:val="00A71FB3"/>
    <w:rsid w:val="00A8305E"/>
    <w:rsid w:val="00A91BBD"/>
    <w:rsid w:val="00A965F8"/>
    <w:rsid w:val="00AA5255"/>
    <w:rsid w:val="00AB514A"/>
    <w:rsid w:val="00AE48EF"/>
    <w:rsid w:val="00AE70E2"/>
    <w:rsid w:val="00AE7CF9"/>
    <w:rsid w:val="00AF137E"/>
    <w:rsid w:val="00AF6716"/>
    <w:rsid w:val="00AF7951"/>
    <w:rsid w:val="00B034F8"/>
    <w:rsid w:val="00B10C50"/>
    <w:rsid w:val="00B22999"/>
    <w:rsid w:val="00B30101"/>
    <w:rsid w:val="00B4725D"/>
    <w:rsid w:val="00B5240A"/>
    <w:rsid w:val="00B53C98"/>
    <w:rsid w:val="00B55476"/>
    <w:rsid w:val="00B85436"/>
    <w:rsid w:val="00B85EC7"/>
    <w:rsid w:val="00B953BE"/>
    <w:rsid w:val="00BB0EBB"/>
    <w:rsid w:val="00BC543D"/>
    <w:rsid w:val="00BC55F2"/>
    <w:rsid w:val="00BF1D74"/>
    <w:rsid w:val="00C108A6"/>
    <w:rsid w:val="00C127C8"/>
    <w:rsid w:val="00C205B9"/>
    <w:rsid w:val="00C358AE"/>
    <w:rsid w:val="00C574AF"/>
    <w:rsid w:val="00C66262"/>
    <w:rsid w:val="00C708A4"/>
    <w:rsid w:val="00C865B8"/>
    <w:rsid w:val="00CA0243"/>
    <w:rsid w:val="00CF5100"/>
    <w:rsid w:val="00CF516F"/>
    <w:rsid w:val="00D00E4B"/>
    <w:rsid w:val="00D03CEA"/>
    <w:rsid w:val="00D0466A"/>
    <w:rsid w:val="00D13666"/>
    <w:rsid w:val="00D430D5"/>
    <w:rsid w:val="00D773D6"/>
    <w:rsid w:val="00D80223"/>
    <w:rsid w:val="00D85B4F"/>
    <w:rsid w:val="00DB06EB"/>
    <w:rsid w:val="00DB1C20"/>
    <w:rsid w:val="00DB2862"/>
    <w:rsid w:val="00DD4A4E"/>
    <w:rsid w:val="00E22214"/>
    <w:rsid w:val="00E95686"/>
    <w:rsid w:val="00EA1EA2"/>
    <w:rsid w:val="00EC6B08"/>
    <w:rsid w:val="00EC6C91"/>
    <w:rsid w:val="00EE6AEB"/>
    <w:rsid w:val="00EF478B"/>
    <w:rsid w:val="00F04664"/>
    <w:rsid w:val="00F056AB"/>
    <w:rsid w:val="00F10D7A"/>
    <w:rsid w:val="00F15E8C"/>
    <w:rsid w:val="00F2259C"/>
    <w:rsid w:val="00F25846"/>
    <w:rsid w:val="00F37F1D"/>
    <w:rsid w:val="00F4367C"/>
    <w:rsid w:val="00F60EAB"/>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B30E-BE79-412E-9BC4-BD63E0CA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2</cp:revision>
  <dcterms:created xsi:type="dcterms:W3CDTF">2012-10-03T05:19:00Z</dcterms:created>
  <dcterms:modified xsi:type="dcterms:W3CDTF">2012-10-03T05:19:00Z</dcterms:modified>
</cp:coreProperties>
</file>