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14" w:rsidRDefault="00E22214" w:rsidP="001A2CF6">
      <w:pPr>
        <w:rPr>
          <w:rFonts w:ascii="Times New Roman" w:eastAsiaTheme="majorEastAsia" w:hAnsi="Times New Roman" w:cs="Times New Roman"/>
          <w:b/>
          <w:bCs/>
          <w:color w:val="4F81BD" w:themeColor="accent1"/>
          <w:sz w:val="26"/>
          <w:szCs w:val="26"/>
        </w:rPr>
      </w:pPr>
      <w:bookmarkStart w:id="0" w:name="_GoBack"/>
    </w:p>
    <w:p w:rsidR="00FB7B4D" w:rsidRDefault="00FB7B4D" w:rsidP="001A2CF6">
      <w:pPr>
        <w:rPr>
          <w:rFonts w:ascii="Times New Roman" w:eastAsiaTheme="majorEastAsia" w:hAnsi="Times New Roman" w:cs="Times New Roman"/>
          <w:b/>
          <w:bCs/>
          <w:color w:val="4F81BD" w:themeColor="accent1"/>
          <w:sz w:val="26"/>
          <w:szCs w:val="26"/>
        </w:rPr>
      </w:pPr>
      <w:r>
        <w:rPr>
          <w:rFonts w:ascii="Times New Roman" w:eastAsiaTheme="majorEastAsia" w:hAnsi="Times New Roman" w:cs="Times New Roman"/>
          <w:b/>
          <w:bCs/>
          <w:color w:val="4F81BD" w:themeColor="accent1"/>
          <w:sz w:val="26"/>
          <w:szCs w:val="26"/>
        </w:rPr>
        <w:t xml:space="preserve">7 Seri </w:t>
      </w:r>
      <w:proofErr w:type="spellStart"/>
      <w:r>
        <w:rPr>
          <w:rFonts w:ascii="Times New Roman" w:eastAsiaTheme="majorEastAsia" w:hAnsi="Times New Roman" w:cs="Times New Roman"/>
          <w:b/>
          <w:bCs/>
          <w:color w:val="4F81BD" w:themeColor="accent1"/>
          <w:sz w:val="26"/>
          <w:szCs w:val="26"/>
        </w:rPr>
        <w:t>No</w:t>
      </w:r>
      <w:r w:rsidR="00A6782E">
        <w:rPr>
          <w:rFonts w:ascii="Times New Roman" w:eastAsiaTheme="majorEastAsia" w:hAnsi="Times New Roman" w:cs="Times New Roman"/>
          <w:b/>
          <w:bCs/>
          <w:color w:val="4F81BD" w:themeColor="accent1"/>
          <w:sz w:val="26"/>
          <w:szCs w:val="26"/>
        </w:rPr>
        <w:t>’</w:t>
      </w:r>
      <w:r>
        <w:rPr>
          <w:rFonts w:ascii="Times New Roman" w:eastAsiaTheme="majorEastAsia" w:hAnsi="Times New Roman" w:cs="Times New Roman"/>
          <w:b/>
          <w:bCs/>
          <w:color w:val="4F81BD" w:themeColor="accent1"/>
          <w:sz w:val="26"/>
          <w:szCs w:val="26"/>
        </w:rPr>
        <w:t>lu</w:t>
      </w:r>
      <w:proofErr w:type="spellEnd"/>
      <w:r>
        <w:rPr>
          <w:rFonts w:ascii="Times New Roman" w:eastAsiaTheme="majorEastAsia" w:hAnsi="Times New Roman" w:cs="Times New Roman"/>
          <w:b/>
          <w:bCs/>
          <w:color w:val="4F81BD" w:themeColor="accent1"/>
          <w:sz w:val="26"/>
          <w:szCs w:val="26"/>
        </w:rPr>
        <w:t xml:space="preserve"> Kurumlar Vergisi Genel Taslağı</w:t>
      </w:r>
    </w:p>
    <w:p w:rsidR="00FB7B4D" w:rsidRPr="00FB7B4D" w:rsidRDefault="00A6782E" w:rsidP="00FB7B4D">
      <w:pPr>
        <w:spacing w:before="240" w:line="240" w:lineRule="auto"/>
        <w:jc w:val="both"/>
        <w:rPr>
          <w:rFonts w:ascii="Times New Roman" w:hAnsi="Times New Roman" w:cs="Times New Roman"/>
          <w:color w:val="000000"/>
        </w:rPr>
      </w:pPr>
      <w:proofErr w:type="gramStart"/>
      <w:r>
        <w:rPr>
          <w:rFonts w:ascii="Times New Roman" w:hAnsi="Times New Roman" w:cs="Times New Roman"/>
          <w:color w:val="000000"/>
        </w:rPr>
        <w:t xml:space="preserve">7 Seri </w:t>
      </w:r>
      <w:proofErr w:type="spellStart"/>
      <w:r>
        <w:rPr>
          <w:rFonts w:ascii="Times New Roman" w:hAnsi="Times New Roman" w:cs="Times New Roman"/>
          <w:color w:val="000000"/>
        </w:rPr>
        <w:t>No'</w:t>
      </w:r>
      <w:r w:rsidR="00FB7B4D" w:rsidRPr="00FB7B4D">
        <w:rPr>
          <w:rFonts w:ascii="Times New Roman" w:hAnsi="Times New Roman" w:cs="Times New Roman"/>
          <w:color w:val="000000"/>
        </w:rPr>
        <w:t>lu</w:t>
      </w:r>
      <w:proofErr w:type="spellEnd"/>
      <w:r w:rsidR="00FB7B4D" w:rsidRPr="00FB7B4D">
        <w:rPr>
          <w:rFonts w:ascii="Times New Roman" w:hAnsi="Times New Roman" w:cs="Times New Roman"/>
          <w:color w:val="000000"/>
        </w:rPr>
        <w:t xml:space="preserve"> Kurumlar Vergisi Genel Tebliğ Taslağında; 31.5.2012 tarihli ve 6322 sayılı Amme Alacaklarının Tahsil Usulü Hakkında Kanun ile Bazı Kanunlarda Değiş</w:t>
      </w:r>
      <w:r w:rsidR="00FB7B4D">
        <w:rPr>
          <w:rFonts w:ascii="Times New Roman" w:hAnsi="Times New Roman" w:cs="Times New Roman"/>
          <w:color w:val="000000"/>
        </w:rPr>
        <w:t xml:space="preserve">iklik Yapılmasına Dair Kanunla </w:t>
      </w:r>
      <w:r w:rsidR="00FB7B4D" w:rsidRPr="00FB7B4D">
        <w:rPr>
          <w:rFonts w:ascii="Times New Roman" w:hAnsi="Times New Roman" w:cs="Times New Roman"/>
          <w:color w:val="000000"/>
        </w:rPr>
        <w:t>5520 sayılı Kurumlar Vergisi Kan</w:t>
      </w:r>
      <w:r w:rsidR="00FB7B4D">
        <w:rPr>
          <w:rFonts w:ascii="Times New Roman" w:hAnsi="Times New Roman" w:cs="Times New Roman"/>
          <w:color w:val="000000"/>
        </w:rPr>
        <w:t xml:space="preserve">ununda yapılan değişikliklerin </w:t>
      </w:r>
      <w:r w:rsidR="00FB7B4D" w:rsidRPr="00FB7B4D">
        <w:rPr>
          <w:rFonts w:ascii="Times New Roman" w:hAnsi="Times New Roman" w:cs="Times New Roman"/>
          <w:color w:val="000000"/>
        </w:rPr>
        <w:t xml:space="preserve">uygulanmasına ilişkin açıklamalara yer verilmiş olup, 1 seri </w:t>
      </w:r>
      <w:proofErr w:type="spellStart"/>
      <w:r w:rsidR="00FB7B4D" w:rsidRPr="00FB7B4D">
        <w:rPr>
          <w:rFonts w:ascii="Times New Roman" w:hAnsi="Times New Roman" w:cs="Times New Roman"/>
          <w:color w:val="000000"/>
        </w:rPr>
        <w:t>nolu</w:t>
      </w:r>
      <w:proofErr w:type="spellEnd"/>
      <w:r w:rsidR="00FB7B4D" w:rsidRPr="00FB7B4D">
        <w:rPr>
          <w:rFonts w:ascii="Times New Roman" w:hAnsi="Times New Roman" w:cs="Times New Roman"/>
          <w:color w:val="000000"/>
        </w:rPr>
        <w:t xml:space="preserve"> Kurumlar Vergisi Genel Tebliğinde değişiklikler yapılmıştır. </w:t>
      </w:r>
      <w:proofErr w:type="gramEnd"/>
    </w:p>
    <w:p w:rsidR="00FB7B4D" w:rsidRDefault="00FB7B4D" w:rsidP="00FB7B4D">
      <w:pPr>
        <w:spacing w:before="240" w:line="240" w:lineRule="auto"/>
        <w:jc w:val="both"/>
        <w:rPr>
          <w:rFonts w:ascii="Times New Roman" w:hAnsi="Times New Roman" w:cs="Times New Roman"/>
          <w:color w:val="000000"/>
        </w:rPr>
      </w:pPr>
      <w:r w:rsidRPr="00FB7B4D">
        <w:rPr>
          <w:rFonts w:ascii="Times New Roman" w:hAnsi="Times New Roman" w:cs="Times New Roman"/>
          <w:color w:val="000000"/>
        </w:rPr>
        <w:t>Taslağın geliştirilmesi ve yayınlanmaya hazır hale getirilmesi için Başkanlı</w:t>
      </w:r>
      <w:r>
        <w:rPr>
          <w:rFonts w:ascii="Times New Roman" w:hAnsi="Times New Roman" w:cs="Times New Roman"/>
          <w:color w:val="000000"/>
        </w:rPr>
        <w:t>kça</w:t>
      </w:r>
      <w:r w:rsidRPr="00FB7B4D">
        <w:rPr>
          <w:rFonts w:ascii="Times New Roman" w:hAnsi="Times New Roman" w:cs="Times New Roman"/>
          <w:color w:val="000000"/>
        </w:rPr>
        <w:t xml:space="preserve"> çalışmalar devam etmekte</w:t>
      </w:r>
      <w:r>
        <w:rPr>
          <w:rFonts w:ascii="Times New Roman" w:hAnsi="Times New Roman" w:cs="Times New Roman"/>
          <w:color w:val="000000"/>
        </w:rPr>
        <w:t>dir.</w:t>
      </w:r>
    </w:p>
    <w:p w:rsidR="00FB7B4D" w:rsidRPr="00FB7B4D" w:rsidRDefault="00FB7B4D" w:rsidP="00A12856">
      <w:pPr>
        <w:spacing w:before="240" w:line="240" w:lineRule="auto"/>
        <w:jc w:val="both"/>
        <w:rPr>
          <w:rFonts w:ascii="Times New Roman" w:hAnsi="Times New Roman" w:cs="Times New Roman"/>
          <w:color w:val="000000"/>
        </w:rPr>
      </w:pPr>
      <w:r w:rsidRPr="00FB7B4D">
        <w:rPr>
          <w:rFonts w:ascii="Times New Roman" w:hAnsi="Times New Roman" w:cs="Times New Roman"/>
          <w:color w:val="000000"/>
        </w:rPr>
        <w:t>Tebliğ taslağında genel olarak yer verilen hususlar izleyen bölümlerde açıklanmıştır:</w:t>
      </w:r>
    </w:p>
    <w:p w:rsidR="00FB7B4D" w:rsidRPr="00A6782E"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“5.1. İştirak kazançları istisnası” başlıklı bölümün ikinci ve son paragrafı aşağıdaki şekilde değiştirilmiştir.</w:t>
      </w:r>
    </w:p>
    <w:p w:rsidR="00FB7B4D" w:rsidRPr="00574E67" w:rsidRDefault="00FB7B4D" w:rsidP="00FB7B4D">
      <w:pPr>
        <w:spacing w:before="240" w:line="240" w:lineRule="auto"/>
        <w:jc w:val="both"/>
        <w:rPr>
          <w:rFonts w:ascii="Times New Roman" w:hAnsi="Times New Roman" w:cs="Times New Roman"/>
          <w:color w:val="000000"/>
        </w:rPr>
      </w:pPr>
      <w:r w:rsidRPr="00574E67">
        <w:rPr>
          <w:rFonts w:ascii="Times New Roman" w:hAnsi="Times New Roman" w:cs="Times New Roman"/>
          <w:color w:val="000000"/>
        </w:rPr>
        <w:t xml:space="preserve">Tam mükellefiyete tabi girişim sermayesi yatırım fonu ve ortaklıklarının katılma payları ile hisse senetlerinden elde edilen kâr payları, 6322 sayılı Kanunun 34 üncü maddesiyle Kurumlar Vergisi Kanununun 5 inci maddesinde yapılan değişikliğin yürürlüğe girdiği </w:t>
      </w:r>
      <w:proofErr w:type="gramStart"/>
      <w:r w:rsidRPr="00574E67">
        <w:rPr>
          <w:rFonts w:ascii="Times New Roman" w:hAnsi="Times New Roman" w:cs="Times New Roman"/>
          <w:color w:val="000000"/>
        </w:rPr>
        <w:t>1/1/2013</w:t>
      </w:r>
      <w:proofErr w:type="gramEnd"/>
      <w:r w:rsidRPr="00574E67">
        <w:rPr>
          <w:rFonts w:ascii="Times New Roman" w:hAnsi="Times New Roman" w:cs="Times New Roman"/>
          <w:color w:val="000000"/>
        </w:rPr>
        <w:t xml:space="preserve"> tarihinden itibaren uygulanmak üzere kurumlar ve</w:t>
      </w:r>
      <w:r w:rsidR="007C3A2C" w:rsidRPr="00574E67">
        <w:rPr>
          <w:rFonts w:ascii="Times New Roman" w:hAnsi="Times New Roman" w:cs="Times New Roman"/>
          <w:color w:val="000000"/>
        </w:rPr>
        <w:t>rgisinden istisna edilmektedir.</w:t>
      </w:r>
    </w:p>
    <w:p w:rsidR="00FB7B4D" w:rsidRPr="00574E67" w:rsidRDefault="00FB7B4D" w:rsidP="00FB7B4D">
      <w:pPr>
        <w:spacing w:before="240" w:line="240" w:lineRule="auto"/>
        <w:jc w:val="both"/>
        <w:rPr>
          <w:rFonts w:ascii="Times New Roman" w:hAnsi="Times New Roman" w:cs="Times New Roman"/>
          <w:color w:val="000000"/>
        </w:rPr>
      </w:pPr>
      <w:r w:rsidRPr="00574E67">
        <w:rPr>
          <w:rFonts w:ascii="Times New Roman" w:hAnsi="Times New Roman" w:cs="Times New Roman"/>
          <w:color w:val="000000"/>
        </w:rPr>
        <w:t>Öte yandan, tam mükellefiyete tabi girişim sermayesi yatırım fonu ve ortaklıklarının katılma payları ile hisse senetlerinden elde edilen kâr payları hariç olmak üzere diğer fon ve yatırım ortaklıklarının katılma payları ve hisse senetlerinden elde edilen kâr payları iştirak kazancı ist</w:t>
      </w:r>
      <w:r w:rsidR="007C3A2C" w:rsidRPr="00574E67">
        <w:rPr>
          <w:rFonts w:ascii="Times New Roman" w:hAnsi="Times New Roman" w:cs="Times New Roman"/>
          <w:color w:val="000000"/>
        </w:rPr>
        <w:t>isnasından yararlanamayacaktır.</w:t>
      </w:r>
    </w:p>
    <w:p w:rsidR="00574E67" w:rsidRPr="00574E67"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574E67">
        <w:rPr>
          <w:rFonts w:ascii="Times New Roman" w:hAnsi="Times New Roman" w:cs="Times New Roman"/>
          <w:b/>
          <w:color w:val="000000"/>
        </w:rPr>
        <w:t xml:space="preserve">“5.12. Diğer kanunlarda yer alan istisnalar” başlıklı bölümden sonra gelmek üzere “5.13. Yabancı fon kazançlarının ve bu fonların </w:t>
      </w:r>
      <w:proofErr w:type="gramStart"/>
      <w:r w:rsidRPr="00574E67">
        <w:rPr>
          <w:rFonts w:ascii="Times New Roman" w:hAnsi="Times New Roman" w:cs="Times New Roman"/>
          <w:b/>
          <w:color w:val="000000"/>
        </w:rPr>
        <w:t>portföy</w:t>
      </w:r>
      <w:proofErr w:type="gramEnd"/>
      <w:r w:rsidRPr="00574E67">
        <w:rPr>
          <w:rFonts w:ascii="Times New Roman" w:hAnsi="Times New Roman" w:cs="Times New Roman"/>
          <w:b/>
          <w:color w:val="000000"/>
        </w:rPr>
        <w:t xml:space="preserve"> yöneticiliğini yapan şirketlerin vergisel durumu</w:t>
      </w:r>
      <w:r w:rsidR="007C3A2C" w:rsidRPr="00574E67">
        <w:rPr>
          <w:rFonts w:ascii="Times New Roman" w:hAnsi="Times New Roman" w:cs="Times New Roman"/>
          <w:b/>
          <w:color w:val="000000"/>
        </w:rPr>
        <w:t>” bölümü eklenmiş</w:t>
      </w:r>
      <w:r w:rsidR="00574E67" w:rsidRPr="00574E67">
        <w:rPr>
          <w:rFonts w:ascii="Times New Roman" w:hAnsi="Times New Roman" w:cs="Times New Roman"/>
          <w:b/>
          <w:color w:val="000000"/>
        </w:rPr>
        <w:t>tir.</w:t>
      </w:r>
    </w:p>
    <w:p w:rsidR="00574E67"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574E67">
        <w:rPr>
          <w:rFonts w:ascii="Times New Roman" w:hAnsi="Times New Roman" w:cs="Times New Roman"/>
          <w:b/>
          <w:color w:val="000000"/>
        </w:rPr>
        <w:t xml:space="preserve"> “10.3.2.2. Eğitim ve sağlık tesislerine ilişkin bağış ve yardımlar” başlıklı bölümün başlığı</w:t>
      </w:r>
      <w:r w:rsidR="00574E67">
        <w:rPr>
          <w:rFonts w:ascii="Times New Roman" w:hAnsi="Times New Roman" w:cs="Times New Roman"/>
          <w:b/>
          <w:color w:val="000000"/>
        </w:rPr>
        <w:t>;</w:t>
      </w:r>
    </w:p>
    <w:p w:rsidR="00FB7B4D" w:rsidRPr="00574E67" w:rsidRDefault="00FB7B4D" w:rsidP="00FB7B4D">
      <w:pPr>
        <w:spacing w:before="240" w:line="240" w:lineRule="auto"/>
        <w:jc w:val="both"/>
        <w:rPr>
          <w:rFonts w:ascii="Times New Roman" w:hAnsi="Times New Roman" w:cs="Times New Roman"/>
          <w:color w:val="000000"/>
        </w:rPr>
      </w:pPr>
      <w:r w:rsidRPr="00574E67">
        <w:rPr>
          <w:rFonts w:ascii="Times New Roman" w:hAnsi="Times New Roman" w:cs="Times New Roman"/>
          <w:color w:val="000000"/>
        </w:rPr>
        <w:t>“10.3.2.2. Eğitim ve sağlık tesisleri ile dini tesislere ilişkin bağış ve yardımlar”, bölümde geçen “</w:t>
      </w:r>
      <w:proofErr w:type="gramStart"/>
      <w:r w:rsidRPr="00574E67">
        <w:rPr>
          <w:rFonts w:ascii="Times New Roman" w:hAnsi="Times New Roman" w:cs="Times New Roman"/>
          <w:color w:val="000000"/>
        </w:rPr>
        <w:t>rehabilitasyon</w:t>
      </w:r>
      <w:proofErr w:type="gramEnd"/>
      <w:r w:rsidRPr="00574E67">
        <w:rPr>
          <w:rFonts w:ascii="Times New Roman" w:hAnsi="Times New Roman" w:cs="Times New Roman"/>
          <w:color w:val="000000"/>
        </w:rPr>
        <w:t xml:space="preserve"> merkezi” ile “rehabilitasyon merkezlerinin” ibareleri, “rehabilitasyon merkezi ile mülki idare amirlerinin izni ve denetimine tabi olarak yaptırılacak ibadethaneler ve Diyanet İşleri Başkanlığı denetiminde yaygın din eğitimi verilen tesislerin” şeklinde değiştirilmiş, bölümün birinci paragrafının ilk cümlesinde yer alan “Eğitim, sağlık ve bakım hizmetlerini” ifadesi, “Eğitim, sağlık ve bakım hizmetleri ile dini hizmetleri” şeklinde değiştirilmiştir.</w:t>
      </w:r>
    </w:p>
    <w:p w:rsidR="00E22214" w:rsidRPr="00A6782E"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 xml:space="preserve">“10.3.2.2.2. Kapsama </w:t>
      </w:r>
      <w:proofErr w:type="gramStart"/>
      <w:r w:rsidRPr="00A6782E">
        <w:rPr>
          <w:rFonts w:ascii="Times New Roman" w:hAnsi="Times New Roman" w:cs="Times New Roman"/>
          <w:b/>
          <w:color w:val="000000"/>
        </w:rPr>
        <w:t>dahil</w:t>
      </w:r>
      <w:proofErr w:type="gramEnd"/>
      <w:r w:rsidRPr="00A6782E">
        <w:rPr>
          <w:rFonts w:ascii="Times New Roman" w:hAnsi="Times New Roman" w:cs="Times New Roman"/>
          <w:b/>
          <w:color w:val="000000"/>
        </w:rPr>
        <w:t xml:space="preserve"> olan bağış ve yardımlar” başlıklı bölümün birinci paragrafında yer alan “Mevcut okul, sağlık tesisi ve öğrenci yurtlarının faaliyetlerine devam etmelerini sağlamak amacıyla yapılan bağış ve yardım,” ifadesi, </w:t>
      </w:r>
    </w:p>
    <w:p w:rsidR="00574E67" w:rsidRPr="00E22214" w:rsidRDefault="00FB7B4D" w:rsidP="00FB7B4D">
      <w:pPr>
        <w:spacing w:before="240" w:line="240" w:lineRule="auto"/>
        <w:jc w:val="both"/>
        <w:rPr>
          <w:rFonts w:ascii="Times New Roman" w:hAnsi="Times New Roman" w:cs="Times New Roman"/>
          <w:color w:val="000000"/>
        </w:rPr>
      </w:pPr>
      <w:r w:rsidRPr="00E22214">
        <w:rPr>
          <w:rFonts w:ascii="Times New Roman" w:hAnsi="Times New Roman" w:cs="Times New Roman"/>
          <w:color w:val="000000"/>
        </w:rPr>
        <w:t xml:space="preserve">“Mevcut tesislerin faaliyetlerine devam etmelerini sağlamak amacıyla yapılan bağış ve yardım,” şeklinde değiştirilmiş ve bölümün sonuna </w:t>
      </w:r>
      <w:r w:rsidR="00574E67" w:rsidRPr="00E22214">
        <w:rPr>
          <w:rFonts w:ascii="Times New Roman" w:hAnsi="Times New Roman" w:cs="Times New Roman"/>
          <w:color w:val="000000"/>
        </w:rPr>
        <w:t>eklemeler yapılmıştır.</w:t>
      </w:r>
    </w:p>
    <w:p w:rsidR="00FB7B4D" w:rsidRPr="00A6782E"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“10.3.2.5. Türkiye Kızılay Derneğine yapılan bağış veya yardımlar” başlıklı bölüm başlığı ile birlikte aşağıdaki şekilde değiştirilmiştir.</w:t>
      </w:r>
    </w:p>
    <w:p w:rsidR="00FB7B4D" w:rsidRPr="00E22214" w:rsidRDefault="00FB7B4D" w:rsidP="00FB7B4D">
      <w:pPr>
        <w:spacing w:before="240" w:line="240" w:lineRule="auto"/>
        <w:jc w:val="both"/>
        <w:rPr>
          <w:rFonts w:ascii="Times New Roman" w:hAnsi="Times New Roman" w:cs="Times New Roman"/>
          <w:color w:val="000000"/>
        </w:rPr>
      </w:pPr>
      <w:r w:rsidRPr="00E22214">
        <w:rPr>
          <w:rFonts w:ascii="Times New Roman" w:hAnsi="Times New Roman" w:cs="Times New Roman"/>
          <w:color w:val="000000"/>
        </w:rPr>
        <w:t>“10.3.2.5. Türkiye Kızılay Derneğine ve Türkiye Yeşilay Cemiyetine yapılan bağış veya yardımlar</w:t>
      </w:r>
      <w:r w:rsidR="00A6782E">
        <w:rPr>
          <w:rFonts w:ascii="Times New Roman" w:hAnsi="Times New Roman" w:cs="Times New Roman"/>
          <w:color w:val="000000"/>
        </w:rPr>
        <w:t xml:space="preserve"> </w:t>
      </w:r>
      <w:r w:rsidRPr="00E22214">
        <w:rPr>
          <w:rFonts w:ascii="Times New Roman" w:hAnsi="Times New Roman" w:cs="Times New Roman"/>
          <w:color w:val="000000"/>
        </w:rPr>
        <w:t xml:space="preserve">5904 sayılı Kanunla Kurumlar Vergisi Kanununun 10 uncu maddesinin birinci fıkrasına eklenen (f) bendi ile </w:t>
      </w:r>
      <w:proofErr w:type="gramStart"/>
      <w:r w:rsidRPr="00E22214">
        <w:rPr>
          <w:rFonts w:ascii="Times New Roman" w:hAnsi="Times New Roman" w:cs="Times New Roman"/>
          <w:color w:val="000000"/>
        </w:rPr>
        <w:t>3/7/2009</w:t>
      </w:r>
      <w:proofErr w:type="gramEnd"/>
      <w:r w:rsidRPr="00E22214">
        <w:rPr>
          <w:rFonts w:ascii="Times New Roman" w:hAnsi="Times New Roman" w:cs="Times New Roman"/>
          <w:color w:val="000000"/>
        </w:rPr>
        <w:t xml:space="preserve"> tarihinden itibaren uygulanmak üzere Türkiye Kızılay Derneğine ve 6322 sayılı Kanunla aynı bentte yapılan değişiklikle 15/6/2012 tarihinden itibaren uygulanmak üzere Türkiye Yeşilay Cemiyetine, kurumlar vergisi mükellefleri tarafından makbuz karşılığı yapılan nakdî bağış </w:t>
      </w:r>
      <w:r w:rsidRPr="00E22214">
        <w:rPr>
          <w:rFonts w:ascii="Times New Roman" w:hAnsi="Times New Roman" w:cs="Times New Roman"/>
          <w:color w:val="000000"/>
        </w:rPr>
        <w:lastRenderedPageBreak/>
        <w:t>veya yardımların tamamı, kurumlar vergisi beyannamesi üzerinde gösterilmek şartıyla kurum kazancından indirilebilecektir.</w:t>
      </w:r>
    </w:p>
    <w:p w:rsidR="00FB7B4D"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 xml:space="preserve">“10. Diğer İndirimler” başlıklı bölümün sonuna aşağıdaki alt bölümler eklenmiştir. </w:t>
      </w:r>
    </w:p>
    <w:p w:rsidR="00A6782E" w:rsidRPr="00A6782E" w:rsidRDefault="00A6782E" w:rsidP="00A6782E">
      <w:pPr>
        <w:pStyle w:val="ListParagraph"/>
        <w:spacing w:before="240" w:line="240" w:lineRule="auto"/>
        <w:ind w:left="360"/>
        <w:jc w:val="both"/>
        <w:rPr>
          <w:rFonts w:ascii="Times New Roman" w:hAnsi="Times New Roman" w:cs="Times New Roman"/>
          <w:b/>
          <w:color w:val="000000"/>
        </w:rPr>
      </w:pPr>
    </w:p>
    <w:p w:rsidR="00574E67" w:rsidRPr="00A6782E" w:rsidRDefault="00574E67" w:rsidP="00A6782E">
      <w:pPr>
        <w:pStyle w:val="ListParagraph"/>
        <w:numPr>
          <w:ilvl w:val="0"/>
          <w:numId w:val="37"/>
        </w:numPr>
        <w:spacing w:before="240" w:line="240" w:lineRule="auto"/>
        <w:jc w:val="both"/>
        <w:rPr>
          <w:rFonts w:ascii="Times New Roman" w:hAnsi="Times New Roman" w:cs="Times New Roman"/>
          <w:color w:val="000000"/>
        </w:rPr>
      </w:pPr>
      <w:r w:rsidRPr="00A6782E">
        <w:rPr>
          <w:rFonts w:ascii="Times New Roman" w:hAnsi="Times New Roman" w:cs="Times New Roman"/>
          <w:color w:val="000000"/>
        </w:rPr>
        <w:t>10.4. Girişim sermayesi fonu</w:t>
      </w:r>
    </w:p>
    <w:p w:rsidR="00FB7B4D" w:rsidRDefault="00FB7B4D" w:rsidP="00A6782E">
      <w:pPr>
        <w:pStyle w:val="ListParagraph"/>
        <w:numPr>
          <w:ilvl w:val="0"/>
          <w:numId w:val="37"/>
        </w:numPr>
        <w:spacing w:before="240" w:line="240" w:lineRule="auto"/>
        <w:jc w:val="both"/>
        <w:rPr>
          <w:rFonts w:ascii="Times New Roman" w:hAnsi="Times New Roman" w:cs="Times New Roman"/>
          <w:color w:val="000000"/>
        </w:rPr>
      </w:pPr>
      <w:r w:rsidRPr="00A6782E">
        <w:rPr>
          <w:rFonts w:ascii="Times New Roman" w:hAnsi="Times New Roman" w:cs="Times New Roman"/>
          <w:color w:val="000000"/>
        </w:rPr>
        <w:t>10.5. Türkiye’den yurtdışı mukimi kişi ve kurumlara verilen hizmetler</w:t>
      </w:r>
    </w:p>
    <w:p w:rsidR="00A6782E" w:rsidRPr="00A6782E" w:rsidRDefault="00A6782E" w:rsidP="00A6782E">
      <w:pPr>
        <w:pStyle w:val="ListParagraph"/>
        <w:spacing w:before="240" w:line="240" w:lineRule="auto"/>
        <w:jc w:val="both"/>
        <w:rPr>
          <w:rFonts w:ascii="Times New Roman" w:hAnsi="Times New Roman" w:cs="Times New Roman"/>
          <w:color w:val="000000"/>
        </w:rPr>
      </w:pPr>
    </w:p>
    <w:p w:rsidR="00E22214" w:rsidRPr="00A6782E"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 xml:space="preserve">“15.3.3. Her nevi tahvil ve Hazine bonosu faizleri ile Toplu Konut İdaresi ve Özelleştirme İdaresince çıkarılan menkul kıymetler ve varlık kiralama şirketleri tarafından ihraç edilen kira sertifikalarından sağlanan gelirler” başlıklı bölümün başlığı ve alt bölüm başlıkları </w:t>
      </w:r>
      <w:proofErr w:type="gramStart"/>
      <w:r w:rsidRPr="00A6782E">
        <w:rPr>
          <w:rFonts w:ascii="Times New Roman" w:hAnsi="Times New Roman" w:cs="Times New Roman"/>
          <w:b/>
          <w:color w:val="000000"/>
        </w:rPr>
        <w:t>dahil</w:t>
      </w:r>
      <w:proofErr w:type="gramEnd"/>
      <w:r w:rsidRPr="00A6782E">
        <w:rPr>
          <w:rFonts w:ascii="Times New Roman" w:hAnsi="Times New Roman" w:cs="Times New Roman"/>
          <w:b/>
          <w:color w:val="000000"/>
        </w:rPr>
        <w:t xml:space="preserve"> bölümde yer alan “Toplu Konut İdaresi” ibaresinden sonra gelmek üzere </w:t>
      </w:r>
    </w:p>
    <w:p w:rsidR="00FB7B4D" w:rsidRPr="00E22214" w:rsidRDefault="00FB7B4D" w:rsidP="00FB7B4D">
      <w:pPr>
        <w:spacing w:before="240" w:line="240" w:lineRule="auto"/>
        <w:jc w:val="both"/>
        <w:rPr>
          <w:rFonts w:ascii="Times New Roman" w:hAnsi="Times New Roman" w:cs="Times New Roman"/>
          <w:color w:val="000000"/>
        </w:rPr>
      </w:pPr>
      <w:r w:rsidRPr="00E22214">
        <w:rPr>
          <w:rFonts w:ascii="Times New Roman" w:hAnsi="Times New Roman" w:cs="Times New Roman"/>
          <w:color w:val="000000"/>
        </w:rPr>
        <w:t>“</w:t>
      </w:r>
      <w:proofErr w:type="gramStart"/>
      <w:r w:rsidRPr="00E22214">
        <w:rPr>
          <w:rFonts w:ascii="Times New Roman" w:hAnsi="Times New Roman" w:cs="Times New Roman"/>
          <w:color w:val="000000"/>
        </w:rPr>
        <w:t>28/3/2002</w:t>
      </w:r>
      <w:proofErr w:type="gramEnd"/>
      <w:r w:rsidRPr="00E22214">
        <w:rPr>
          <w:rFonts w:ascii="Times New Roman" w:hAnsi="Times New Roman" w:cs="Times New Roman"/>
          <w:color w:val="000000"/>
        </w:rPr>
        <w:t xml:space="preserve"> tarihli ve 4749 sayılı Kamu Finansmanı ve Borç Yönetiminin Düzenlenmesi Hakkında Kanuna göre kurulan varlık kiralama şirketleri” ibaresi eklenmiştir.</w:t>
      </w:r>
    </w:p>
    <w:p w:rsidR="00FB7B4D" w:rsidRPr="00A6782E"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“15.3.7. Repo gelirleri” başlıklı bölümden sonra gelmek üzere aşağıdaki bölüm eklenmiş ve sonraki bölüm numaraları buna göre teselsül ettirilmiştir.</w:t>
      </w:r>
    </w:p>
    <w:p w:rsidR="00FB7B4D" w:rsidRPr="00E22214" w:rsidRDefault="00FB7B4D" w:rsidP="00FB7B4D">
      <w:pPr>
        <w:spacing w:before="240" w:line="240" w:lineRule="auto"/>
        <w:jc w:val="both"/>
        <w:rPr>
          <w:rFonts w:ascii="Times New Roman" w:hAnsi="Times New Roman" w:cs="Times New Roman"/>
          <w:color w:val="000000"/>
        </w:rPr>
      </w:pPr>
      <w:r w:rsidRPr="00E22214">
        <w:rPr>
          <w:rFonts w:ascii="Times New Roman" w:hAnsi="Times New Roman" w:cs="Times New Roman"/>
          <w:color w:val="000000"/>
        </w:rPr>
        <w:t>“15.3.8. Şans oyunlarını düzenleyenler tarafından bunların bayilerine veya aracılarına ödenen komisyon, prim ve benzeri ödemeler üzerinden yapılacak vergi kesintisi</w:t>
      </w:r>
      <w:r w:rsidR="00574E67" w:rsidRPr="00E22214">
        <w:rPr>
          <w:rFonts w:ascii="Times New Roman" w:hAnsi="Times New Roman" w:cs="Times New Roman"/>
          <w:color w:val="000000"/>
        </w:rPr>
        <w:t>”</w:t>
      </w:r>
    </w:p>
    <w:p w:rsidR="00FB7B4D" w:rsidRPr="00A6782E" w:rsidRDefault="00FB7B4D" w:rsidP="00A6782E">
      <w:pPr>
        <w:pStyle w:val="ListParagraph"/>
        <w:numPr>
          <w:ilvl w:val="0"/>
          <w:numId w:val="34"/>
        </w:numPr>
        <w:spacing w:before="240" w:line="240" w:lineRule="auto"/>
        <w:jc w:val="both"/>
        <w:rPr>
          <w:rFonts w:ascii="Times New Roman" w:hAnsi="Times New Roman" w:cs="Times New Roman"/>
          <w:b/>
          <w:color w:val="000000"/>
        </w:rPr>
      </w:pPr>
      <w:r w:rsidRPr="00A6782E">
        <w:rPr>
          <w:rFonts w:ascii="Times New Roman" w:hAnsi="Times New Roman" w:cs="Times New Roman"/>
          <w:b/>
          <w:color w:val="000000"/>
        </w:rPr>
        <w:t>"34.1. Vergi mahsubu" başlıklı bölümün son paragrafı bölümden çıkarılmıştır.</w:t>
      </w:r>
    </w:p>
    <w:p w:rsidR="009706CB" w:rsidRPr="009706CB" w:rsidRDefault="00574E67" w:rsidP="009706CB">
      <w:pPr>
        <w:spacing w:before="240" w:line="240" w:lineRule="auto"/>
        <w:jc w:val="both"/>
        <w:rPr>
          <w:rFonts w:ascii="Times New Roman" w:hAnsi="Times New Roman" w:cs="Times New Roman"/>
          <w:color w:val="000000"/>
        </w:rPr>
      </w:pPr>
      <w:r>
        <w:rPr>
          <w:rFonts w:ascii="Times New Roman" w:hAnsi="Times New Roman" w:cs="Times New Roman"/>
          <w:color w:val="000000"/>
        </w:rPr>
        <w:t>İlgili Tebliğ taslağı;</w:t>
      </w:r>
      <w:r w:rsidR="009706CB">
        <w:rPr>
          <w:rFonts w:ascii="Times New Roman" w:hAnsi="Times New Roman" w:cs="Times New Roman"/>
          <w:color w:val="000000"/>
        </w:rPr>
        <w:t xml:space="preserve"> </w:t>
      </w:r>
      <w:r>
        <w:rPr>
          <w:rFonts w:ascii="Times New Roman" w:hAnsi="Times New Roman" w:cs="Times New Roman"/>
          <w:color w:val="000000"/>
        </w:rPr>
        <w:t>Tebliğ olarak yürürlüğe girdiğinde Tebliğ ile getirilen açıklamalar tarafınıza ayrı bir bilgilendirme notu ile detaylı biçimde aktarılacaktır.</w:t>
      </w:r>
    </w:p>
    <w:p w:rsidR="009706CB" w:rsidRDefault="009706CB" w:rsidP="000D7A12">
      <w:pPr>
        <w:spacing w:before="240" w:line="240" w:lineRule="auto"/>
        <w:jc w:val="both"/>
        <w:rPr>
          <w:rFonts w:ascii="Times New Roman" w:hAnsi="Times New Roman" w:cs="Times New Roman"/>
          <w:color w:val="000000"/>
        </w:rPr>
      </w:pPr>
    </w:p>
    <w:p w:rsidR="005F6332" w:rsidRPr="003E164A" w:rsidRDefault="005F6332" w:rsidP="000D7A12">
      <w:pPr>
        <w:spacing w:before="240" w:line="240" w:lineRule="auto"/>
        <w:jc w:val="both"/>
        <w:rPr>
          <w:rFonts w:ascii="Times New Roman" w:hAnsi="Times New Roman" w:cs="Times New Roman"/>
          <w:color w:val="000000"/>
        </w:rPr>
      </w:pPr>
      <w:r>
        <w:rPr>
          <w:rFonts w:ascii="Times New Roman" w:hAnsi="Times New Roman" w:cs="Times New Roman"/>
          <w:color w:val="000000"/>
        </w:rPr>
        <w:t>Saygılarımızla,</w:t>
      </w:r>
      <w:bookmarkEnd w:id="0"/>
    </w:p>
    <w:sectPr w:rsidR="005F6332" w:rsidRPr="003E1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20" w:rsidRDefault="00DB1C20" w:rsidP="00A71FB3">
      <w:pPr>
        <w:spacing w:after="0" w:line="240" w:lineRule="auto"/>
      </w:pPr>
      <w:r>
        <w:separator/>
      </w:r>
    </w:p>
  </w:endnote>
  <w:endnote w:type="continuationSeparator" w:id="0">
    <w:p w:rsidR="00DB1C20" w:rsidRDefault="00DB1C20" w:rsidP="00A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20" w:rsidRDefault="00DB1C20" w:rsidP="00A71FB3">
      <w:pPr>
        <w:spacing w:after="0" w:line="240" w:lineRule="auto"/>
      </w:pPr>
      <w:r>
        <w:separator/>
      </w:r>
    </w:p>
  </w:footnote>
  <w:footnote w:type="continuationSeparator" w:id="0">
    <w:p w:rsidR="00DB1C20" w:rsidRDefault="00DB1C20" w:rsidP="00A71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2">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9"/>
  </w:num>
  <w:num w:numId="4">
    <w:abstractNumId w:val="5"/>
  </w:num>
  <w:num w:numId="5">
    <w:abstractNumId w:val="10"/>
  </w:num>
  <w:num w:numId="6">
    <w:abstractNumId w:val="11"/>
  </w:num>
  <w:num w:numId="7">
    <w:abstractNumId w:val="8"/>
  </w:num>
  <w:num w:numId="8">
    <w:abstractNumId w:val="2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1"/>
  </w:num>
  <w:num w:numId="13">
    <w:abstractNumId w:val="4"/>
  </w:num>
  <w:num w:numId="14">
    <w:abstractNumId w:val="16"/>
  </w:num>
  <w:num w:numId="15">
    <w:abstractNumId w:val="17"/>
  </w:num>
  <w:num w:numId="16">
    <w:abstractNumId w:val="26"/>
  </w:num>
  <w:num w:numId="17">
    <w:abstractNumId w:val="22"/>
  </w:num>
  <w:num w:numId="18">
    <w:abstractNumId w:val="22"/>
  </w:num>
  <w:num w:numId="19">
    <w:abstractNumId w:val="28"/>
  </w:num>
  <w:num w:numId="20">
    <w:abstractNumId w:val="33"/>
  </w:num>
  <w:num w:numId="21">
    <w:abstractNumId w:val="13"/>
  </w:num>
  <w:num w:numId="22">
    <w:abstractNumId w:val="29"/>
  </w:num>
  <w:num w:numId="23">
    <w:abstractNumId w:val="0"/>
  </w:num>
  <w:num w:numId="24">
    <w:abstractNumId w:val="25"/>
  </w:num>
  <w:num w:numId="25">
    <w:abstractNumId w:val="6"/>
  </w:num>
  <w:num w:numId="26">
    <w:abstractNumId w:val="23"/>
  </w:num>
  <w:num w:numId="27">
    <w:abstractNumId w:val="27"/>
  </w:num>
  <w:num w:numId="28">
    <w:abstractNumId w:val="2"/>
  </w:num>
  <w:num w:numId="29">
    <w:abstractNumId w:val="7"/>
  </w:num>
  <w:num w:numId="30">
    <w:abstractNumId w:val="14"/>
  </w:num>
  <w:num w:numId="31">
    <w:abstractNumId w:val="30"/>
  </w:num>
  <w:num w:numId="32">
    <w:abstractNumId w:val="18"/>
  </w:num>
  <w:num w:numId="33">
    <w:abstractNumId w:val="3"/>
  </w:num>
  <w:num w:numId="34">
    <w:abstractNumId w:val="9"/>
  </w:num>
  <w:num w:numId="35">
    <w:abstractNumId w:val="15"/>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715D1"/>
    <w:rsid w:val="001A2CF6"/>
    <w:rsid w:val="001A5E50"/>
    <w:rsid w:val="001D4E07"/>
    <w:rsid w:val="001E12C6"/>
    <w:rsid w:val="00217DF3"/>
    <w:rsid w:val="00247E15"/>
    <w:rsid w:val="00261647"/>
    <w:rsid w:val="00276B44"/>
    <w:rsid w:val="002D7C92"/>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403209"/>
    <w:rsid w:val="00404D5E"/>
    <w:rsid w:val="00437188"/>
    <w:rsid w:val="00444CBC"/>
    <w:rsid w:val="00453754"/>
    <w:rsid w:val="00465811"/>
    <w:rsid w:val="00482BF1"/>
    <w:rsid w:val="004B0787"/>
    <w:rsid w:val="00514B59"/>
    <w:rsid w:val="00537C03"/>
    <w:rsid w:val="0054054D"/>
    <w:rsid w:val="0054396F"/>
    <w:rsid w:val="00567821"/>
    <w:rsid w:val="00574848"/>
    <w:rsid w:val="00574E67"/>
    <w:rsid w:val="0058328B"/>
    <w:rsid w:val="005D0BE3"/>
    <w:rsid w:val="005E0CC0"/>
    <w:rsid w:val="005F08CA"/>
    <w:rsid w:val="005F5A5C"/>
    <w:rsid w:val="005F6332"/>
    <w:rsid w:val="00606DAD"/>
    <w:rsid w:val="00607AF0"/>
    <w:rsid w:val="006359D0"/>
    <w:rsid w:val="00643897"/>
    <w:rsid w:val="006600B1"/>
    <w:rsid w:val="006836E6"/>
    <w:rsid w:val="006A4B28"/>
    <w:rsid w:val="006F4199"/>
    <w:rsid w:val="00730C3E"/>
    <w:rsid w:val="00733095"/>
    <w:rsid w:val="00777C75"/>
    <w:rsid w:val="00794604"/>
    <w:rsid w:val="007A0F57"/>
    <w:rsid w:val="007A4519"/>
    <w:rsid w:val="007A5F1B"/>
    <w:rsid w:val="007B01E9"/>
    <w:rsid w:val="007C3A2C"/>
    <w:rsid w:val="007D60E1"/>
    <w:rsid w:val="007D7FC8"/>
    <w:rsid w:val="007E063C"/>
    <w:rsid w:val="007E27E1"/>
    <w:rsid w:val="007E40F0"/>
    <w:rsid w:val="008045F7"/>
    <w:rsid w:val="008A5BFD"/>
    <w:rsid w:val="008B5D6D"/>
    <w:rsid w:val="008D4477"/>
    <w:rsid w:val="008D719C"/>
    <w:rsid w:val="008F3B63"/>
    <w:rsid w:val="0094311B"/>
    <w:rsid w:val="009706CB"/>
    <w:rsid w:val="009916E0"/>
    <w:rsid w:val="00994CE3"/>
    <w:rsid w:val="009B7DB7"/>
    <w:rsid w:val="009C3843"/>
    <w:rsid w:val="009C789A"/>
    <w:rsid w:val="00A039D9"/>
    <w:rsid w:val="00A117F8"/>
    <w:rsid w:val="00A12856"/>
    <w:rsid w:val="00A232B0"/>
    <w:rsid w:val="00A46E5C"/>
    <w:rsid w:val="00A6782E"/>
    <w:rsid w:val="00A71FB3"/>
    <w:rsid w:val="00A8305E"/>
    <w:rsid w:val="00A91BBD"/>
    <w:rsid w:val="00A965F8"/>
    <w:rsid w:val="00AA5255"/>
    <w:rsid w:val="00AB514A"/>
    <w:rsid w:val="00AE48EF"/>
    <w:rsid w:val="00AE70E2"/>
    <w:rsid w:val="00AE7CF9"/>
    <w:rsid w:val="00AF137E"/>
    <w:rsid w:val="00AF6716"/>
    <w:rsid w:val="00AF7951"/>
    <w:rsid w:val="00B034F8"/>
    <w:rsid w:val="00B10C50"/>
    <w:rsid w:val="00B22999"/>
    <w:rsid w:val="00B30101"/>
    <w:rsid w:val="00B4725D"/>
    <w:rsid w:val="00B5240A"/>
    <w:rsid w:val="00B53C98"/>
    <w:rsid w:val="00B55476"/>
    <w:rsid w:val="00B85436"/>
    <w:rsid w:val="00B85EC7"/>
    <w:rsid w:val="00B953BE"/>
    <w:rsid w:val="00BB0EBB"/>
    <w:rsid w:val="00BC543D"/>
    <w:rsid w:val="00BC55F2"/>
    <w:rsid w:val="00BF1D74"/>
    <w:rsid w:val="00C108A6"/>
    <w:rsid w:val="00C127C8"/>
    <w:rsid w:val="00C205B9"/>
    <w:rsid w:val="00C358AE"/>
    <w:rsid w:val="00C574AF"/>
    <w:rsid w:val="00C66262"/>
    <w:rsid w:val="00C708A4"/>
    <w:rsid w:val="00C865B8"/>
    <w:rsid w:val="00CA0243"/>
    <w:rsid w:val="00CF5100"/>
    <w:rsid w:val="00CF516F"/>
    <w:rsid w:val="00D00E4B"/>
    <w:rsid w:val="00D03CEA"/>
    <w:rsid w:val="00D0466A"/>
    <w:rsid w:val="00D13666"/>
    <w:rsid w:val="00D430D5"/>
    <w:rsid w:val="00D773D6"/>
    <w:rsid w:val="00D80223"/>
    <w:rsid w:val="00D85B4F"/>
    <w:rsid w:val="00DB06EB"/>
    <w:rsid w:val="00DB1C20"/>
    <w:rsid w:val="00DB2862"/>
    <w:rsid w:val="00DD4A4E"/>
    <w:rsid w:val="00E22214"/>
    <w:rsid w:val="00E95686"/>
    <w:rsid w:val="00EA1EA2"/>
    <w:rsid w:val="00EC6B08"/>
    <w:rsid w:val="00EE6AEB"/>
    <w:rsid w:val="00EF478B"/>
    <w:rsid w:val="00F04664"/>
    <w:rsid w:val="00F056AB"/>
    <w:rsid w:val="00F10D7A"/>
    <w:rsid w:val="00F15E8C"/>
    <w:rsid w:val="00F2259C"/>
    <w:rsid w:val="00F25846"/>
    <w:rsid w:val="00F37F1D"/>
    <w:rsid w:val="00F4367C"/>
    <w:rsid w:val="00F60EAB"/>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D30D-54B4-452D-B347-5C7665E1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3</cp:revision>
  <dcterms:created xsi:type="dcterms:W3CDTF">2012-09-14T06:08:00Z</dcterms:created>
  <dcterms:modified xsi:type="dcterms:W3CDTF">2012-09-14T06:55:00Z</dcterms:modified>
</cp:coreProperties>
</file>