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865" w:rsidRDefault="005D2865" w:rsidP="005D2865">
      <w:pPr>
        <w:rPr>
          <w:rFonts w:ascii="Times New Roman" w:hAnsi="Times New Roman" w:cs="Times New Roman"/>
          <w:b/>
          <w:bCs/>
          <w:color w:val="4F81BD"/>
          <w:sz w:val="26"/>
          <w:szCs w:val="26"/>
        </w:rPr>
      </w:pPr>
      <w:bookmarkStart w:id="0" w:name="_GoBack"/>
      <w:bookmarkEnd w:id="0"/>
      <w:r>
        <w:rPr>
          <w:rFonts w:ascii="Times New Roman" w:hAnsi="Times New Roman" w:cs="Times New Roman"/>
          <w:b/>
          <w:bCs/>
          <w:color w:val="4F81BD"/>
          <w:sz w:val="26"/>
          <w:szCs w:val="26"/>
        </w:rPr>
        <w:t xml:space="preserve">120 Seri </w:t>
      </w:r>
      <w:proofErr w:type="spellStart"/>
      <w:r>
        <w:rPr>
          <w:rFonts w:ascii="Times New Roman" w:hAnsi="Times New Roman" w:cs="Times New Roman"/>
          <w:b/>
          <w:bCs/>
          <w:color w:val="4F81BD"/>
          <w:sz w:val="26"/>
          <w:szCs w:val="26"/>
        </w:rPr>
        <w:t>No’lu</w:t>
      </w:r>
      <w:proofErr w:type="spellEnd"/>
      <w:r>
        <w:rPr>
          <w:rFonts w:ascii="Times New Roman" w:hAnsi="Times New Roman" w:cs="Times New Roman"/>
          <w:b/>
          <w:bCs/>
          <w:color w:val="4F81BD"/>
          <w:sz w:val="26"/>
          <w:szCs w:val="26"/>
        </w:rPr>
        <w:t xml:space="preserve"> KDV Genel Tebliği</w:t>
      </w:r>
    </w:p>
    <w:p w:rsidR="005D2865" w:rsidRDefault="005D2865" w:rsidP="005D2865">
      <w:pPr>
        <w:jc w:val="both"/>
        <w:rPr>
          <w:rFonts w:ascii="Times New Roman" w:hAnsi="Times New Roman" w:cs="Times New Roman"/>
          <w:color w:val="000000"/>
        </w:rPr>
      </w:pPr>
    </w:p>
    <w:p w:rsidR="005D2865" w:rsidRDefault="005D2865" w:rsidP="005D2865">
      <w:pPr>
        <w:spacing w:before="240"/>
        <w:jc w:val="both"/>
        <w:rPr>
          <w:rFonts w:ascii="Times New Roman" w:hAnsi="Times New Roman" w:cs="Times New Roman"/>
          <w:color w:val="000000"/>
        </w:rPr>
      </w:pPr>
      <w:r>
        <w:rPr>
          <w:rFonts w:ascii="Times New Roman" w:hAnsi="Times New Roman" w:cs="Times New Roman"/>
          <w:color w:val="000000"/>
        </w:rPr>
        <w:t xml:space="preserve">18.08.2012 tarihinde yayımlanan 120 seri </w:t>
      </w:r>
      <w:proofErr w:type="spellStart"/>
      <w:r>
        <w:rPr>
          <w:rFonts w:ascii="Times New Roman" w:hAnsi="Times New Roman" w:cs="Times New Roman"/>
          <w:color w:val="000000"/>
        </w:rPr>
        <w:t>no’lu</w:t>
      </w:r>
      <w:proofErr w:type="spellEnd"/>
      <w:r>
        <w:rPr>
          <w:rFonts w:ascii="Times New Roman" w:hAnsi="Times New Roman" w:cs="Times New Roman"/>
          <w:color w:val="000000"/>
        </w:rPr>
        <w:t xml:space="preserve"> KDV Genel Tebliğinde aşağıdaki açıklamalara yer verilmiştir:</w:t>
      </w:r>
    </w:p>
    <w:p w:rsidR="005D2865" w:rsidRDefault="005D2865" w:rsidP="005D2865">
      <w:pPr>
        <w:spacing w:before="240"/>
        <w:jc w:val="both"/>
        <w:rPr>
          <w:rFonts w:ascii="Times New Roman" w:hAnsi="Times New Roman" w:cs="Times New Roman"/>
          <w:b/>
          <w:bCs/>
          <w:i/>
          <w:iCs/>
          <w:color w:val="000000"/>
        </w:rPr>
      </w:pPr>
      <w:r>
        <w:rPr>
          <w:rFonts w:ascii="Times New Roman" w:hAnsi="Times New Roman" w:cs="Times New Roman"/>
          <w:b/>
          <w:bCs/>
          <w:i/>
          <w:iCs/>
          <w:color w:val="000000"/>
        </w:rPr>
        <w:t>Uluslararası Kuruluşlara Yapılan Teslim ve Hizmetlerde İstisna</w:t>
      </w:r>
    </w:p>
    <w:p w:rsidR="005D2865" w:rsidRDefault="005D2865" w:rsidP="005D2865">
      <w:pPr>
        <w:spacing w:before="240"/>
        <w:jc w:val="both"/>
        <w:rPr>
          <w:rFonts w:ascii="Times New Roman" w:hAnsi="Times New Roman" w:cs="Times New Roman"/>
          <w:color w:val="000000"/>
        </w:rPr>
      </w:pPr>
      <w:r>
        <w:rPr>
          <w:rFonts w:ascii="Times New Roman" w:hAnsi="Times New Roman" w:cs="Times New Roman"/>
          <w:color w:val="000000"/>
        </w:rPr>
        <w:t>KDV Kanunu’ndaki uluslararası kuruluşlara yapılan teslim ve hizmetlerdeki istisnanın kapsamı aşağıdaki şekilde genişletilmiştir:</w:t>
      </w:r>
    </w:p>
    <w:p w:rsidR="005D2865" w:rsidRDefault="005D2865" w:rsidP="005D2865">
      <w:pPr>
        <w:spacing w:before="240"/>
        <w:jc w:val="both"/>
        <w:rPr>
          <w:rFonts w:ascii="Times New Roman" w:hAnsi="Times New Roman" w:cs="Times New Roman"/>
          <w:color w:val="000000"/>
        </w:rPr>
      </w:pPr>
      <w:r>
        <w:rPr>
          <w:rFonts w:ascii="Times New Roman" w:hAnsi="Times New Roman" w:cs="Times New Roman"/>
          <w:color w:val="000000"/>
        </w:rPr>
        <w:t>Finansmanları uluslararası kuruluşlar tarafından karşılanması şartıyla ilgili kurum, temsilcilik, program, fon ve özel ihtisas kuruluşlarının Türkiye'deki faaliyetlerinin devamı veya ilgili kurumlara ilişkin uluslararası anlaşmaların yürürlükte bulunduğu süre içerisinde;</w:t>
      </w:r>
    </w:p>
    <w:p w:rsidR="005D2865" w:rsidRDefault="005D2865" w:rsidP="005D2865">
      <w:pPr>
        <w:pStyle w:val="ListParagraph"/>
        <w:numPr>
          <w:ilvl w:val="0"/>
          <w:numId w:val="29"/>
        </w:numPr>
        <w:spacing w:before="240" w:after="200"/>
        <w:jc w:val="both"/>
        <w:rPr>
          <w:rFonts w:ascii="Times New Roman" w:hAnsi="Times New Roman" w:cs="Times New Roman"/>
          <w:color w:val="000000"/>
        </w:rPr>
      </w:pPr>
      <w:r>
        <w:rPr>
          <w:rFonts w:ascii="Times New Roman" w:hAnsi="Times New Roman" w:cs="Times New Roman"/>
          <w:color w:val="000000"/>
        </w:rPr>
        <w:t>Birleşmiş Milletler (BM) temsilciliği, BM'ye bağlı program, fon ve özel ihtisas kuruluşları ile OECD resmi kullanımları için yapılacak mal teslimi ve hizmet ifaları,</w:t>
      </w:r>
    </w:p>
    <w:p w:rsidR="005D2865" w:rsidRDefault="005D2865" w:rsidP="005D2865">
      <w:pPr>
        <w:pStyle w:val="ListParagraph"/>
        <w:numPr>
          <w:ilvl w:val="0"/>
          <w:numId w:val="29"/>
        </w:numPr>
        <w:spacing w:before="240" w:after="200"/>
        <w:jc w:val="both"/>
        <w:rPr>
          <w:rFonts w:ascii="Times New Roman" w:hAnsi="Times New Roman" w:cs="Times New Roman"/>
          <w:color w:val="000000"/>
        </w:rPr>
      </w:pPr>
      <w:r>
        <w:rPr>
          <w:rFonts w:ascii="Times New Roman" w:hAnsi="Times New Roman" w:cs="Times New Roman"/>
          <w:color w:val="000000"/>
        </w:rPr>
        <w:t>NATO temsilcilikleri ile bu NATO’ya bağlı fon ve özel ihtisas kuruluşlarına resmi kullanımları için yapılacak mal teslimi ve hizmet ifaları,</w:t>
      </w:r>
    </w:p>
    <w:p w:rsidR="005D2865" w:rsidRDefault="005D2865" w:rsidP="005D2865">
      <w:pPr>
        <w:pStyle w:val="ListParagraph"/>
        <w:numPr>
          <w:ilvl w:val="0"/>
          <w:numId w:val="29"/>
        </w:numPr>
        <w:spacing w:before="240" w:after="200"/>
        <w:jc w:val="both"/>
        <w:rPr>
          <w:rFonts w:ascii="Times New Roman" w:hAnsi="Times New Roman" w:cs="Times New Roman"/>
          <w:color w:val="000000"/>
        </w:rPr>
      </w:pPr>
      <w:proofErr w:type="gramStart"/>
      <w:r>
        <w:rPr>
          <w:rFonts w:ascii="Times New Roman" w:hAnsi="Times New Roman" w:cs="Times New Roman"/>
          <w:color w:val="000000"/>
        </w:rPr>
        <w:t>bunların</w:t>
      </w:r>
      <w:proofErr w:type="gramEnd"/>
      <w:r>
        <w:rPr>
          <w:rFonts w:ascii="Times New Roman" w:hAnsi="Times New Roman" w:cs="Times New Roman"/>
          <w:color w:val="000000"/>
        </w:rPr>
        <w:t xml:space="preserve"> sosyal ve ekonomik yardım amacıyla bedelsiz olarak yapacakları mal teslimi ve hizmet ifaları,</w:t>
      </w:r>
    </w:p>
    <w:p w:rsidR="005D2865" w:rsidRDefault="005D2865" w:rsidP="005D2865">
      <w:pPr>
        <w:pStyle w:val="ListParagraph"/>
        <w:numPr>
          <w:ilvl w:val="0"/>
          <w:numId w:val="29"/>
        </w:numPr>
        <w:spacing w:before="240" w:after="200"/>
        <w:jc w:val="both"/>
        <w:rPr>
          <w:rFonts w:ascii="Times New Roman" w:hAnsi="Times New Roman" w:cs="Times New Roman"/>
          <w:color w:val="000000"/>
        </w:rPr>
      </w:pPr>
      <w:proofErr w:type="gramStart"/>
      <w:r>
        <w:rPr>
          <w:rFonts w:ascii="Times New Roman" w:hAnsi="Times New Roman" w:cs="Times New Roman"/>
          <w:color w:val="000000"/>
        </w:rPr>
        <w:t>bedelsiz</w:t>
      </w:r>
      <w:proofErr w:type="gramEnd"/>
      <w:r>
        <w:rPr>
          <w:rFonts w:ascii="Times New Roman" w:hAnsi="Times New Roman" w:cs="Times New Roman"/>
          <w:color w:val="000000"/>
        </w:rPr>
        <w:t xml:space="preserve"> mal teslimi ve hizmet ifaları ile ilgili mal ve hizmetlerin bunlara teslim ve ifası</w:t>
      </w:r>
    </w:p>
    <w:p w:rsidR="005D2865" w:rsidRDefault="005D2865" w:rsidP="005D2865">
      <w:pPr>
        <w:spacing w:before="240"/>
        <w:jc w:val="both"/>
        <w:rPr>
          <w:rFonts w:ascii="Times New Roman" w:hAnsi="Times New Roman" w:cs="Times New Roman"/>
          <w:color w:val="000000"/>
        </w:rPr>
      </w:pPr>
      <w:proofErr w:type="gramStart"/>
      <w:r>
        <w:rPr>
          <w:rFonts w:ascii="Times New Roman" w:hAnsi="Times New Roman" w:cs="Times New Roman"/>
          <w:color w:val="000000"/>
        </w:rPr>
        <w:t>girmektedir</w:t>
      </w:r>
      <w:proofErr w:type="gramEnd"/>
      <w:r>
        <w:rPr>
          <w:rFonts w:ascii="Times New Roman" w:hAnsi="Times New Roman" w:cs="Times New Roman"/>
          <w:color w:val="000000"/>
        </w:rPr>
        <w:t>.</w:t>
      </w:r>
    </w:p>
    <w:p w:rsidR="005D2865" w:rsidRDefault="005D2865" w:rsidP="005D2865">
      <w:pPr>
        <w:spacing w:before="240"/>
        <w:jc w:val="both"/>
        <w:rPr>
          <w:rFonts w:ascii="Times New Roman" w:hAnsi="Times New Roman" w:cs="Times New Roman"/>
          <w:color w:val="000000"/>
        </w:rPr>
      </w:pPr>
      <w:r>
        <w:rPr>
          <w:rFonts w:ascii="Times New Roman" w:hAnsi="Times New Roman" w:cs="Times New Roman"/>
          <w:color w:val="000000"/>
        </w:rPr>
        <w:t xml:space="preserve">Söz konusu istisnanın uygulanabilmesi için Dışişleri Bakanlığınca yukarıdaki Kuruluşlar adına düzenlenecek "İstisna Belgesi" kullanılacak olup Tebliğ’de istisna ve iade uygulamasına ilişkin detaylı açıklamalara da yer verilmiştir. </w:t>
      </w:r>
    </w:p>
    <w:p w:rsidR="005D2865" w:rsidRDefault="005D2865" w:rsidP="005D2865">
      <w:pPr>
        <w:spacing w:before="240"/>
        <w:jc w:val="both"/>
        <w:rPr>
          <w:rFonts w:ascii="Times New Roman" w:hAnsi="Times New Roman" w:cs="Times New Roman"/>
          <w:b/>
          <w:bCs/>
          <w:i/>
          <w:iCs/>
          <w:color w:val="000000"/>
        </w:rPr>
      </w:pPr>
      <w:r>
        <w:rPr>
          <w:rFonts w:ascii="Times New Roman" w:hAnsi="Times New Roman" w:cs="Times New Roman"/>
          <w:b/>
          <w:bCs/>
          <w:i/>
          <w:iCs/>
          <w:color w:val="000000"/>
        </w:rPr>
        <w:t>Eğitim ve Öğretim Tesislerine İlişkin Projeler</w:t>
      </w:r>
    </w:p>
    <w:p w:rsidR="005D2865" w:rsidRDefault="005D2865" w:rsidP="005D2865">
      <w:pPr>
        <w:spacing w:before="240"/>
        <w:jc w:val="both"/>
        <w:rPr>
          <w:rFonts w:ascii="Times New Roman" w:hAnsi="Times New Roman" w:cs="Times New Roman"/>
          <w:color w:val="000000"/>
        </w:rPr>
      </w:pPr>
      <w:r>
        <w:rPr>
          <w:rFonts w:ascii="Times New Roman" w:hAnsi="Times New Roman" w:cs="Times New Roman"/>
          <w:color w:val="000000"/>
        </w:rPr>
        <w:t xml:space="preserve">KDV Kanununun geçici 29 uncu maddesinde yer alan “sağlık tesislerine ilişkin projelerden” ibaresine Millî Eğitim Bakanlığı Bakanlık’ı tarafından kiralama karşılığı yaptırılmasına karar verilen eğitim öğretim tesislerine ilişkin projeler de eklenmiştir. Dolayısıyla 31.12.2023 tarihine kadar ihale veya görevlendirme ilanı yayımlanacak olanların; ihale edilmesi ile görevlendirilen veya projeyi üstlenenlere yatırım döneminde proje kapsamında yapılan mal teslimleri ve hizmet ifaları KDV’den müstesnadır. </w:t>
      </w:r>
    </w:p>
    <w:p w:rsidR="005D2865" w:rsidRDefault="005D2865" w:rsidP="005D2865">
      <w:pPr>
        <w:spacing w:before="240"/>
        <w:jc w:val="both"/>
        <w:rPr>
          <w:rFonts w:ascii="Times New Roman" w:hAnsi="Times New Roman" w:cs="Times New Roman"/>
          <w:b/>
          <w:bCs/>
          <w:i/>
          <w:iCs/>
          <w:color w:val="000000"/>
        </w:rPr>
      </w:pPr>
      <w:r>
        <w:rPr>
          <w:rFonts w:ascii="Times New Roman" w:hAnsi="Times New Roman" w:cs="Times New Roman"/>
          <w:b/>
          <w:bCs/>
          <w:i/>
          <w:iCs/>
          <w:color w:val="000000"/>
        </w:rPr>
        <w:t>Diğer Değişiklikler</w:t>
      </w:r>
    </w:p>
    <w:p w:rsidR="005D2865" w:rsidRDefault="005D2865" w:rsidP="005D2865">
      <w:pPr>
        <w:pStyle w:val="ListParagraph"/>
        <w:numPr>
          <w:ilvl w:val="0"/>
          <w:numId w:val="30"/>
        </w:numPr>
        <w:spacing w:before="240" w:after="200"/>
        <w:jc w:val="both"/>
        <w:rPr>
          <w:rFonts w:ascii="Times New Roman" w:hAnsi="Times New Roman" w:cs="Times New Roman"/>
          <w:color w:val="000000"/>
        </w:rPr>
      </w:pPr>
      <w:proofErr w:type="gramStart"/>
      <w:r>
        <w:rPr>
          <w:rFonts w:ascii="Times New Roman" w:hAnsi="Times New Roman" w:cs="Times New Roman"/>
          <w:color w:val="000000"/>
        </w:rPr>
        <w:t>Dahilde</w:t>
      </w:r>
      <w:proofErr w:type="gramEnd"/>
      <w:r>
        <w:rPr>
          <w:rFonts w:ascii="Times New Roman" w:hAnsi="Times New Roman" w:cs="Times New Roman"/>
          <w:color w:val="000000"/>
        </w:rPr>
        <w:t xml:space="preserve"> işleme veya geçici kabul rejimlerinde tecil-terkin uygulamasına ilişkin yapılan değişikliğe göre Tecil-Terkin kapsamında satın alınan maddelerle imal edilen malların süresi içinde ihraç edildiği Yeminli Mali Müşavirlerce düzenlenecek bir rapor alıcı tarafından, tecil-terkin kapsamındaki alışlarına ilişkin olarak düzenlemekteydi. Yeni getirilen değişikliğe göre rapor satıcı tarafından bu kapsamdaki satışlarına ilişkin olarak da düzenlenebilir.</w:t>
      </w:r>
    </w:p>
    <w:p w:rsidR="005D2865" w:rsidRDefault="005D2865" w:rsidP="005D2865">
      <w:pPr>
        <w:pStyle w:val="ListParagraph"/>
        <w:numPr>
          <w:ilvl w:val="0"/>
          <w:numId w:val="30"/>
        </w:numPr>
        <w:spacing w:before="240" w:after="200"/>
        <w:jc w:val="both"/>
        <w:rPr>
          <w:rFonts w:ascii="Times New Roman" w:hAnsi="Times New Roman" w:cs="Times New Roman"/>
          <w:color w:val="000000"/>
        </w:rPr>
      </w:pPr>
      <w:r>
        <w:rPr>
          <w:rFonts w:ascii="Times New Roman" w:hAnsi="Times New Roman" w:cs="Times New Roman"/>
          <w:color w:val="000000"/>
        </w:rPr>
        <w:t>Hızlandırılmış KDV İade Sistemi uygulaması kapsamına girecek mükelleflere ilişkin bilanço değerleri düşürülmüştür.</w:t>
      </w:r>
    </w:p>
    <w:p w:rsidR="005D2865" w:rsidRDefault="005D2865" w:rsidP="005D2865">
      <w:pPr>
        <w:pStyle w:val="ListParagraph"/>
        <w:numPr>
          <w:ilvl w:val="0"/>
          <w:numId w:val="30"/>
        </w:numPr>
        <w:spacing w:before="240" w:after="200"/>
        <w:jc w:val="both"/>
        <w:rPr>
          <w:rFonts w:ascii="Times New Roman" w:hAnsi="Times New Roman" w:cs="Times New Roman"/>
          <w:color w:val="000000"/>
        </w:rPr>
      </w:pPr>
      <w:r>
        <w:rPr>
          <w:rFonts w:ascii="Times New Roman" w:hAnsi="Times New Roman" w:cs="Times New Roman"/>
          <w:color w:val="000000"/>
        </w:rPr>
        <w:t xml:space="preserve">Yılı içinde mahsup edilemeyen vergilerin iadesine ilişkin iade talebinin 4.000 TL ve üstünde olması halinde 4.000 TL'yi aşan kısmın nakden ve/veya mahsuben iadesi vergi inceleme raporu, YMM Raporu veya teminat karşılığında yerine getirileceği belirtilmiştir. </w:t>
      </w:r>
    </w:p>
    <w:p w:rsidR="005D2865" w:rsidRDefault="005D2865" w:rsidP="005D2865">
      <w:pPr>
        <w:spacing w:before="240"/>
        <w:jc w:val="both"/>
        <w:rPr>
          <w:rFonts w:ascii="Times New Roman" w:hAnsi="Times New Roman" w:cs="Times New Roman"/>
          <w:color w:val="000000"/>
        </w:rPr>
      </w:pPr>
      <w:r>
        <w:rPr>
          <w:rFonts w:ascii="Times New Roman" w:hAnsi="Times New Roman" w:cs="Times New Roman"/>
          <w:color w:val="000000"/>
        </w:rPr>
        <w:t>Saygılarımızla,</w:t>
      </w:r>
    </w:p>
    <w:p w:rsidR="005D2865" w:rsidRDefault="005D2865" w:rsidP="005D2865"/>
    <w:p w:rsidR="005D2865" w:rsidRDefault="005D2865" w:rsidP="005D2865">
      <w:pPr>
        <w:rPr>
          <w:lang w:eastAsia="tr-TR"/>
        </w:rPr>
      </w:pPr>
    </w:p>
    <w:sectPr w:rsidR="005D286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DC5" w:rsidRDefault="00A45DC5" w:rsidP="00A71FB3">
      <w:r>
        <w:separator/>
      </w:r>
    </w:p>
  </w:endnote>
  <w:endnote w:type="continuationSeparator" w:id="0">
    <w:p w:rsidR="00A45DC5" w:rsidRDefault="00A45DC5" w:rsidP="00A71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imes">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DC5" w:rsidRDefault="00A45DC5" w:rsidP="00A71FB3">
      <w:r>
        <w:separator/>
      </w:r>
    </w:p>
  </w:footnote>
  <w:footnote w:type="continuationSeparator" w:id="0">
    <w:p w:rsidR="00A45DC5" w:rsidRDefault="00A45DC5" w:rsidP="00A71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455F"/>
    <w:multiLevelType w:val="hybridMultilevel"/>
    <w:tmpl w:val="4172247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9A11503"/>
    <w:multiLevelType w:val="hybridMultilevel"/>
    <w:tmpl w:val="9F10D8D0"/>
    <w:lvl w:ilvl="0" w:tplc="041F0001">
      <w:start w:val="1"/>
      <w:numFmt w:val="bullet"/>
      <w:lvlText w:val=""/>
      <w:lvlJc w:val="left"/>
      <w:pPr>
        <w:tabs>
          <w:tab w:val="num" w:pos="720"/>
        </w:tabs>
        <w:ind w:left="720" w:hanging="360"/>
      </w:pPr>
      <w:rPr>
        <w:rFonts w:ascii="Symbol" w:hAnsi="Symbol"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
    <w:nsid w:val="0A2600D9"/>
    <w:multiLevelType w:val="hybridMultilevel"/>
    <w:tmpl w:val="4F32BA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6310CDE"/>
    <w:multiLevelType w:val="hybridMultilevel"/>
    <w:tmpl w:val="C20E438C"/>
    <w:lvl w:ilvl="0" w:tplc="041F000B">
      <w:start w:val="1"/>
      <w:numFmt w:val="bullet"/>
      <w:lvlText w:val=""/>
      <w:lvlJc w:val="left"/>
      <w:pPr>
        <w:tabs>
          <w:tab w:val="num" w:pos="360"/>
        </w:tabs>
        <w:ind w:left="360" w:hanging="360"/>
      </w:pPr>
      <w:rPr>
        <w:rFonts w:ascii="Wingdings" w:hAnsi="Wingding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
    <w:nsid w:val="178D2376"/>
    <w:multiLevelType w:val="hybridMultilevel"/>
    <w:tmpl w:val="4A66B776"/>
    <w:lvl w:ilvl="0" w:tplc="548AB71C">
      <w:start w:val="1"/>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3996608"/>
    <w:multiLevelType w:val="hybridMultilevel"/>
    <w:tmpl w:val="93106284"/>
    <w:lvl w:ilvl="0" w:tplc="4C04AC3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8F45109"/>
    <w:multiLevelType w:val="hybridMultilevel"/>
    <w:tmpl w:val="7504A7BE"/>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nsid w:val="2C80641E"/>
    <w:multiLevelType w:val="hybridMultilevel"/>
    <w:tmpl w:val="18D27F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4027F6D"/>
    <w:multiLevelType w:val="hybridMultilevel"/>
    <w:tmpl w:val="894ED49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548AB71C">
      <w:start w:val="1"/>
      <w:numFmt w:val="bullet"/>
      <w:lvlText w:val="-"/>
      <w:lvlJc w:val="left"/>
      <w:pPr>
        <w:ind w:left="1800" w:hanging="180"/>
      </w:pPr>
      <w:rPr>
        <w:rFonts w:ascii="Times New Roman" w:eastAsiaTheme="minorHAnsi" w:hAnsi="Times New Roman" w:cs="Times New Roman" w:hint="default"/>
      </w:r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nsid w:val="3ADC37A2"/>
    <w:multiLevelType w:val="hybridMultilevel"/>
    <w:tmpl w:val="DD9C420C"/>
    <w:lvl w:ilvl="0" w:tplc="2AD8100A">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46556D59"/>
    <w:multiLevelType w:val="hybridMultilevel"/>
    <w:tmpl w:val="FC62E7FA"/>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nsid w:val="48D71F00"/>
    <w:multiLevelType w:val="hybridMultilevel"/>
    <w:tmpl w:val="DE561E10"/>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8F05BE5"/>
    <w:multiLevelType w:val="hybridMultilevel"/>
    <w:tmpl w:val="2334C3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9906199"/>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nsid w:val="4D807108"/>
    <w:multiLevelType w:val="hybridMultilevel"/>
    <w:tmpl w:val="3A3467D4"/>
    <w:lvl w:ilvl="0" w:tplc="A8485ED0">
      <w:numFmt w:val="bullet"/>
      <w:lvlText w:val="-"/>
      <w:lvlJc w:val="left"/>
      <w:pPr>
        <w:tabs>
          <w:tab w:val="num" w:pos="720"/>
        </w:tabs>
        <w:ind w:left="720" w:hanging="360"/>
      </w:pPr>
      <w:rPr>
        <w:rFonts w:ascii="Calibri" w:eastAsia="Times" w:hAnsi="Calibri" w:cs="Times"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A8485ED0">
      <w:numFmt w:val="bullet"/>
      <w:lvlText w:val="-"/>
      <w:lvlJc w:val="left"/>
      <w:pPr>
        <w:tabs>
          <w:tab w:val="num" w:pos="2160"/>
        </w:tabs>
        <w:ind w:left="2160" w:hanging="360"/>
      </w:pPr>
      <w:rPr>
        <w:rFonts w:ascii="Calibri" w:eastAsia="Times" w:hAnsi="Calibri" w:cs="Time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cs="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cs="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15">
    <w:nsid w:val="51C114F8"/>
    <w:multiLevelType w:val="hybridMultilevel"/>
    <w:tmpl w:val="3F5401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93C1749"/>
    <w:multiLevelType w:val="hybridMultilevel"/>
    <w:tmpl w:val="0930F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C4177A8"/>
    <w:multiLevelType w:val="hybridMultilevel"/>
    <w:tmpl w:val="35A2D9AC"/>
    <w:lvl w:ilvl="0" w:tplc="548AB71C">
      <w:start w:val="1"/>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5F9360DC"/>
    <w:multiLevelType w:val="hybridMultilevel"/>
    <w:tmpl w:val="3AAEB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60E50397"/>
    <w:multiLevelType w:val="hybridMultilevel"/>
    <w:tmpl w:val="AE7077A6"/>
    <w:lvl w:ilvl="0" w:tplc="041F000F">
      <w:start w:val="1"/>
      <w:numFmt w:val="decimal"/>
      <w:lvlText w:val="%1."/>
      <w:lvlJc w:val="left"/>
      <w:pPr>
        <w:ind w:left="360" w:hanging="360"/>
      </w:pPr>
    </w:lvl>
    <w:lvl w:ilvl="1" w:tplc="548AB71C">
      <w:start w:val="1"/>
      <w:numFmt w:val="bullet"/>
      <w:lvlText w:val="-"/>
      <w:lvlJc w:val="left"/>
      <w:pPr>
        <w:ind w:left="1080" w:hanging="360"/>
      </w:pPr>
      <w:rPr>
        <w:rFonts w:ascii="Times New Roman" w:eastAsiaTheme="minorHAnsi" w:hAnsi="Times New Roman" w:cs="Times New Roman" w:hint="default"/>
      </w:r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642F3D2F"/>
    <w:multiLevelType w:val="hybridMultilevel"/>
    <w:tmpl w:val="CC6CEDB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6B0E50C2"/>
    <w:multiLevelType w:val="hybridMultilevel"/>
    <w:tmpl w:val="E05A7C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F0A292B"/>
    <w:multiLevelType w:val="hybridMultilevel"/>
    <w:tmpl w:val="0A8AB8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C4F286F"/>
    <w:multiLevelType w:val="hybridMultilevel"/>
    <w:tmpl w:val="A6BAB75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nsid w:val="7FD85779"/>
    <w:multiLevelType w:val="hybridMultilevel"/>
    <w:tmpl w:val="BFCA2BFE"/>
    <w:lvl w:ilvl="0" w:tplc="2AD8100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17"/>
  </w:num>
  <w:num w:numId="3">
    <w:abstractNumId w:val="12"/>
  </w:num>
  <w:num w:numId="4">
    <w:abstractNumId w:val="4"/>
  </w:num>
  <w:num w:numId="5">
    <w:abstractNumId w:val="7"/>
  </w:num>
  <w:num w:numId="6">
    <w:abstractNumId w:val="8"/>
  </w:num>
  <w:num w:numId="7">
    <w:abstractNumId w:val="6"/>
  </w:num>
  <w:num w:numId="8">
    <w:abstractNumId w:val="13"/>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1"/>
  </w:num>
  <w:num w:numId="13">
    <w:abstractNumId w:val="3"/>
  </w:num>
  <w:num w:numId="14">
    <w:abstractNumId w:val="10"/>
  </w:num>
  <w:num w:numId="15">
    <w:abstractNumId w:val="11"/>
  </w:num>
  <w:num w:numId="16">
    <w:abstractNumId w:val="19"/>
  </w:num>
  <w:num w:numId="17">
    <w:abstractNumId w:val="15"/>
  </w:num>
  <w:num w:numId="18">
    <w:abstractNumId w:val="15"/>
  </w:num>
  <w:num w:numId="19">
    <w:abstractNumId w:val="21"/>
  </w:num>
  <w:num w:numId="20">
    <w:abstractNumId w:val="24"/>
  </w:num>
  <w:num w:numId="21">
    <w:abstractNumId w:val="9"/>
  </w:num>
  <w:num w:numId="22">
    <w:abstractNumId w:val="22"/>
  </w:num>
  <w:num w:numId="23">
    <w:abstractNumId w:val="0"/>
  </w:num>
  <w:num w:numId="24">
    <w:abstractNumId w:val="18"/>
  </w:num>
  <w:num w:numId="25">
    <w:abstractNumId w:val="5"/>
  </w:num>
  <w:num w:numId="26">
    <w:abstractNumId w:val="16"/>
  </w:num>
  <w:num w:numId="27">
    <w:abstractNumId w:val="20"/>
  </w:num>
  <w:num w:numId="28">
    <w:abstractNumId w:val="2"/>
  </w:num>
  <w:num w:numId="29">
    <w:abstractNumId w:val="20"/>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EC7"/>
    <w:rsid w:val="000767D9"/>
    <w:rsid w:val="000875DE"/>
    <w:rsid w:val="000C00F9"/>
    <w:rsid w:val="000D7A12"/>
    <w:rsid w:val="001715D1"/>
    <w:rsid w:val="001A2CF6"/>
    <w:rsid w:val="001A5E50"/>
    <w:rsid w:val="001D4E07"/>
    <w:rsid w:val="001E12C6"/>
    <w:rsid w:val="00217DF3"/>
    <w:rsid w:val="00247E15"/>
    <w:rsid w:val="00261647"/>
    <w:rsid w:val="00276B44"/>
    <w:rsid w:val="002A4676"/>
    <w:rsid w:val="002E4631"/>
    <w:rsid w:val="00304985"/>
    <w:rsid w:val="00314250"/>
    <w:rsid w:val="003343C7"/>
    <w:rsid w:val="00334FEB"/>
    <w:rsid w:val="00340FA1"/>
    <w:rsid w:val="003608B3"/>
    <w:rsid w:val="00363721"/>
    <w:rsid w:val="003642B5"/>
    <w:rsid w:val="00367E70"/>
    <w:rsid w:val="003A2A8F"/>
    <w:rsid w:val="003A5323"/>
    <w:rsid w:val="003B2991"/>
    <w:rsid w:val="003B6E1F"/>
    <w:rsid w:val="003D418D"/>
    <w:rsid w:val="003E0E76"/>
    <w:rsid w:val="003E164A"/>
    <w:rsid w:val="00403209"/>
    <w:rsid w:val="00404D5E"/>
    <w:rsid w:val="00437188"/>
    <w:rsid w:val="00444CBC"/>
    <w:rsid w:val="00453754"/>
    <w:rsid w:val="00465811"/>
    <w:rsid w:val="00482BF1"/>
    <w:rsid w:val="004B0787"/>
    <w:rsid w:val="004D35FE"/>
    <w:rsid w:val="00514B59"/>
    <w:rsid w:val="00537C03"/>
    <w:rsid w:val="0054054D"/>
    <w:rsid w:val="0054396F"/>
    <w:rsid w:val="00567821"/>
    <w:rsid w:val="0058328B"/>
    <w:rsid w:val="005D0BE3"/>
    <w:rsid w:val="005D2865"/>
    <w:rsid w:val="005E0CC0"/>
    <w:rsid w:val="005F08CA"/>
    <w:rsid w:val="005F5A5C"/>
    <w:rsid w:val="005F6332"/>
    <w:rsid w:val="00606DAD"/>
    <w:rsid w:val="00607AF0"/>
    <w:rsid w:val="006359D0"/>
    <w:rsid w:val="00643897"/>
    <w:rsid w:val="006A4B28"/>
    <w:rsid w:val="006F4199"/>
    <w:rsid w:val="00713A0B"/>
    <w:rsid w:val="00730C3E"/>
    <w:rsid w:val="00733095"/>
    <w:rsid w:val="00777C75"/>
    <w:rsid w:val="00794604"/>
    <w:rsid w:val="007A0F57"/>
    <w:rsid w:val="007A5F1B"/>
    <w:rsid w:val="007D60E1"/>
    <w:rsid w:val="007D7FC8"/>
    <w:rsid w:val="007E063C"/>
    <w:rsid w:val="007E27E1"/>
    <w:rsid w:val="007E40F0"/>
    <w:rsid w:val="008045F7"/>
    <w:rsid w:val="008A5BFD"/>
    <w:rsid w:val="008B5D6D"/>
    <w:rsid w:val="008D4477"/>
    <w:rsid w:val="008F3B63"/>
    <w:rsid w:val="0094311B"/>
    <w:rsid w:val="009916E0"/>
    <w:rsid w:val="00994CE3"/>
    <w:rsid w:val="009B7DB7"/>
    <w:rsid w:val="009C3843"/>
    <w:rsid w:val="009C789A"/>
    <w:rsid w:val="00A02D04"/>
    <w:rsid w:val="00A039D9"/>
    <w:rsid w:val="00A117F8"/>
    <w:rsid w:val="00A232B0"/>
    <w:rsid w:val="00A45DC5"/>
    <w:rsid w:val="00A46E5C"/>
    <w:rsid w:val="00A71FB3"/>
    <w:rsid w:val="00A8305E"/>
    <w:rsid w:val="00A91BBD"/>
    <w:rsid w:val="00A965F8"/>
    <w:rsid w:val="00AA5255"/>
    <w:rsid w:val="00AB514A"/>
    <w:rsid w:val="00AE48EF"/>
    <w:rsid w:val="00AE7CF9"/>
    <w:rsid w:val="00AF137E"/>
    <w:rsid w:val="00AF6716"/>
    <w:rsid w:val="00AF7951"/>
    <w:rsid w:val="00B034F8"/>
    <w:rsid w:val="00B10C50"/>
    <w:rsid w:val="00B22999"/>
    <w:rsid w:val="00B30101"/>
    <w:rsid w:val="00B4725D"/>
    <w:rsid w:val="00B53C98"/>
    <w:rsid w:val="00B55476"/>
    <w:rsid w:val="00B85436"/>
    <w:rsid w:val="00B85EC7"/>
    <w:rsid w:val="00B953BE"/>
    <w:rsid w:val="00BB0EBB"/>
    <w:rsid w:val="00BC543D"/>
    <w:rsid w:val="00BC55F2"/>
    <w:rsid w:val="00BF1D74"/>
    <w:rsid w:val="00C108A6"/>
    <w:rsid w:val="00C127C8"/>
    <w:rsid w:val="00C205B9"/>
    <w:rsid w:val="00C358AE"/>
    <w:rsid w:val="00C66262"/>
    <w:rsid w:val="00C865B8"/>
    <w:rsid w:val="00CF5100"/>
    <w:rsid w:val="00D00E4B"/>
    <w:rsid w:val="00D03CEA"/>
    <w:rsid w:val="00D0466A"/>
    <w:rsid w:val="00D13666"/>
    <w:rsid w:val="00D430D5"/>
    <w:rsid w:val="00D773D6"/>
    <w:rsid w:val="00D85B4F"/>
    <w:rsid w:val="00DB06EB"/>
    <w:rsid w:val="00DB2862"/>
    <w:rsid w:val="00E95686"/>
    <w:rsid w:val="00EC6B08"/>
    <w:rsid w:val="00EE6AEB"/>
    <w:rsid w:val="00EF478B"/>
    <w:rsid w:val="00F04664"/>
    <w:rsid w:val="00F056AB"/>
    <w:rsid w:val="00F10D7A"/>
    <w:rsid w:val="00F15E8C"/>
    <w:rsid w:val="00F2259C"/>
    <w:rsid w:val="00F25846"/>
    <w:rsid w:val="00F37F1D"/>
    <w:rsid w:val="00F4367C"/>
    <w:rsid w:val="00F60EAB"/>
    <w:rsid w:val="00F97F08"/>
    <w:rsid w:val="00FA6856"/>
    <w:rsid w:val="00FD1461"/>
    <w:rsid w:val="00FD6860"/>
    <w:rsid w:val="00FE66C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65"/>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865"/>
    <w:pPr>
      <w:spacing w:after="0" w:line="240" w:lineRule="auto"/>
    </w:pPr>
    <w:rPr>
      <w:rFonts w:ascii="Calibri" w:hAnsi="Calibri" w:cs="Calibri"/>
    </w:rPr>
  </w:style>
  <w:style w:type="paragraph" w:styleId="Heading1">
    <w:name w:val="heading 1"/>
    <w:basedOn w:val="Normal"/>
    <w:next w:val="Normal"/>
    <w:link w:val="Heading1Char"/>
    <w:uiPriority w:val="9"/>
    <w:qFormat/>
    <w:rsid w:val="007A0F57"/>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7A0F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250"/>
    <w:pPr>
      <w:ind w:left="720"/>
      <w:contextualSpacing/>
    </w:pPr>
  </w:style>
  <w:style w:type="character" w:customStyle="1" w:styleId="Heading1Char">
    <w:name w:val="Heading 1 Char"/>
    <w:basedOn w:val="DefaultParagraphFont"/>
    <w:link w:val="Heading1"/>
    <w:uiPriority w:val="9"/>
    <w:rsid w:val="007A0F57"/>
    <w:rPr>
      <w:rFonts w:asciiTheme="majorHAnsi" w:eastAsiaTheme="majorEastAsia" w:hAnsiTheme="majorHAnsi" w:cstheme="majorBidi"/>
      <w:b/>
      <w:bCs/>
      <w:color w:val="365F91" w:themeColor="accent1" w:themeShade="BF"/>
      <w:sz w:val="28"/>
      <w:szCs w:val="28"/>
      <w:lang w:val="en-US" w:eastAsia="ja-JP"/>
    </w:rPr>
  </w:style>
  <w:style w:type="paragraph" w:styleId="BalloonText">
    <w:name w:val="Balloon Text"/>
    <w:basedOn w:val="Normal"/>
    <w:link w:val="BalloonTextChar"/>
    <w:uiPriority w:val="99"/>
    <w:semiHidden/>
    <w:unhideWhenUsed/>
    <w:rsid w:val="007A0F57"/>
    <w:rPr>
      <w:rFonts w:ascii="Tahoma" w:hAnsi="Tahoma" w:cs="Tahoma"/>
      <w:sz w:val="16"/>
      <w:szCs w:val="16"/>
    </w:rPr>
  </w:style>
  <w:style w:type="character" w:customStyle="1" w:styleId="BalloonTextChar">
    <w:name w:val="Balloon Text Char"/>
    <w:basedOn w:val="DefaultParagraphFont"/>
    <w:link w:val="BalloonText"/>
    <w:uiPriority w:val="99"/>
    <w:semiHidden/>
    <w:rsid w:val="007A0F57"/>
    <w:rPr>
      <w:rFonts w:ascii="Tahoma" w:hAnsi="Tahoma" w:cs="Tahoma"/>
      <w:sz w:val="16"/>
      <w:szCs w:val="16"/>
    </w:rPr>
  </w:style>
  <w:style w:type="character" w:customStyle="1" w:styleId="Heading2Char">
    <w:name w:val="Heading 2 Char"/>
    <w:basedOn w:val="DefaultParagraphFont"/>
    <w:link w:val="Heading2"/>
    <w:uiPriority w:val="9"/>
    <w:rsid w:val="007A0F57"/>
    <w:rPr>
      <w:rFonts w:asciiTheme="majorHAnsi" w:eastAsiaTheme="majorEastAsia" w:hAnsiTheme="majorHAnsi" w:cstheme="majorBidi"/>
      <w:b/>
      <w:bCs/>
      <w:color w:val="4F81BD" w:themeColor="accent1"/>
      <w:sz w:val="26"/>
      <w:szCs w:val="26"/>
    </w:rPr>
  </w:style>
  <w:style w:type="table" w:styleId="LightList-Accent1">
    <w:name w:val="Light List Accent 1"/>
    <w:basedOn w:val="TableNormal"/>
    <w:uiPriority w:val="61"/>
    <w:rsid w:val="001A2C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unhideWhenUsed/>
    <w:qFormat/>
    <w:rsid w:val="008045F7"/>
    <w:rPr>
      <w:b/>
      <w:bCs/>
      <w:color w:val="4F81BD" w:themeColor="accent1"/>
      <w:sz w:val="18"/>
      <w:szCs w:val="18"/>
    </w:rPr>
  </w:style>
  <w:style w:type="character" w:styleId="Hyperlink">
    <w:name w:val="Hyperlink"/>
    <w:basedOn w:val="DefaultParagraphFont"/>
    <w:uiPriority w:val="99"/>
    <w:unhideWhenUsed/>
    <w:rsid w:val="001E12C6"/>
    <w:rPr>
      <w:color w:val="0000FF" w:themeColor="hyperlink"/>
      <w:u w:val="single"/>
    </w:rPr>
  </w:style>
  <w:style w:type="paragraph" w:styleId="NormalWeb">
    <w:name w:val="Normal (Web)"/>
    <w:basedOn w:val="Normal"/>
    <w:uiPriority w:val="99"/>
    <w:unhideWhenUsed/>
    <w:rsid w:val="005E0CC0"/>
    <w:pPr>
      <w:spacing w:before="195" w:line="225" w:lineRule="atLeast"/>
    </w:pPr>
    <w:rPr>
      <w:rFonts w:ascii="Arial" w:eastAsia="Times New Roman" w:hAnsi="Arial" w:cs="Arial"/>
      <w:sz w:val="20"/>
      <w:szCs w:val="20"/>
      <w:lang w:eastAsia="tr-TR"/>
    </w:rPr>
  </w:style>
  <w:style w:type="character" w:styleId="Emphasis">
    <w:name w:val="Emphasis"/>
    <w:basedOn w:val="DefaultParagraphFont"/>
    <w:uiPriority w:val="20"/>
    <w:qFormat/>
    <w:rsid w:val="005E0CC0"/>
    <w:rPr>
      <w:i/>
      <w:iCs/>
    </w:rPr>
  </w:style>
  <w:style w:type="paragraph" w:customStyle="1" w:styleId="3-NormalYaz">
    <w:name w:val="3-Normal Yazı"/>
    <w:rsid w:val="00BC543D"/>
    <w:pPr>
      <w:tabs>
        <w:tab w:val="left" w:pos="566"/>
      </w:tabs>
      <w:spacing w:after="0" w:line="240" w:lineRule="auto"/>
      <w:jc w:val="both"/>
    </w:pPr>
    <w:rPr>
      <w:rFonts w:ascii="Times New Roman" w:eastAsia="ヒラギノ明朝 Pro W3" w:hAnsi="Times" w:cs="Times New Roman"/>
      <w:sz w:val="19"/>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293127">
      <w:bodyDiv w:val="1"/>
      <w:marLeft w:val="0"/>
      <w:marRight w:val="0"/>
      <w:marTop w:val="0"/>
      <w:marBottom w:val="0"/>
      <w:divBdr>
        <w:top w:val="none" w:sz="0" w:space="0" w:color="auto"/>
        <w:left w:val="none" w:sz="0" w:space="0" w:color="auto"/>
        <w:bottom w:val="none" w:sz="0" w:space="0" w:color="auto"/>
        <w:right w:val="none" w:sz="0" w:space="0" w:color="auto"/>
      </w:divBdr>
    </w:div>
    <w:div w:id="366416583">
      <w:bodyDiv w:val="1"/>
      <w:marLeft w:val="450"/>
      <w:marRight w:val="450"/>
      <w:marTop w:val="450"/>
      <w:marBottom w:val="450"/>
      <w:divBdr>
        <w:top w:val="none" w:sz="0" w:space="0" w:color="auto"/>
        <w:left w:val="none" w:sz="0" w:space="0" w:color="auto"/>
        <w:bottom w:val="none" w:sz="0" w:space="0" w:color="auto"/>
        <w:right w:val="none" w:sz="0" w:space="0" w:color="auto"/>
      </w:divBdr>
    </w:div>
    <w:div w:id="452988488">
      <w:bodyDiv w:val="1"/>
      <w:marLeft w:val="0"/>
      <w:marRight w:val="0"/>
      <w:marTop w:val="0"/>
      <w:marBottom w:val="0"/>
      <w:divBdr>
        <w:top w:val="none" w:sz="0" w:space="0" w:color="auto"/>
        <w:left w:val="none" w:sz="0" w:space="0" w:color="auto"/>
        <w:bottom w:val="none" w:sz="0" w:space="0" w:color="auto"/>
        <w:right w:val="none" w:sz="0" w:space="0" w:color="auto"/>
      </w:divBdr>
    </w:div>
    <w:div w:id="455376238">
      <w:bodyDiv w:val="1"/>
      <w:marLeft w:val="0"/>
      <w:marRight w:val="0"/>
      <w:marTop w:val="0"/>
      <w:marBottom w:val="0"/>
      <w:divBdr>
        <w:top w:val="none" w:sz="0" w:space="0" w:color="auto"/>
        <w:left w:val="none" w:sz="0" w:space="0" w:color="auto"/>
        <w:bottom w:val="none" w:sz="0" w:space="0" w:color="auto"/>
        <w:right w:val="none" w:sz="0" w:space="0" w:color="auto"/>
      </w:divBdr>
      <w:divsChild>
        <w:div w:id="1328631734">
          <w:marLeft w:val="0"/>
          <w:marRight w:val="0"/>
          <w:marTop w:val="0"/>
          <w:marBottom w:val="0"/>
          <w:divBdr>
            <w:top w:val="none" w:sz="0" w:space="0" w:color="auto"/>
            <w:left w:val="none" w:sz="0" w:space="0" w:color="auto"/>
            <w:bottom w:val="none" w:sz="0" w:space="0" w:color="auto"/>
            <w:right w:val="none" w:sz="0" w:space="0" w:color="auto"/>
          </w:divBdr>
          <w:divsChild>
            <w:div w:id="1792240373">
              <w:marLeft w:val="0"/>
              <w:marRight w:val="0"/>
              <w:marTop w:val="0"/>
              <w:marBottom w:val="0"/>
              <w:divBdr>
                <w:top w:val="none" w:sz="0" w:space="0" w:color="auto"/>
                <w:left w:val="none" w:sz="0" w:space="0" w:color="auto"/>
                <w:bottom w:val="none" w:sz="0" w:space="0" w:color="auto"/>
                <w:right w:val="none" w:sz="0" w:space="0" w:color="auto"/>
              </w:divBdr>
              <w:divsChild>
                <w:div w:id="136918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794170">
      <w:bodyDiv w:val="1"/>
      <w:marLeft w:val="0"/>
      <w:marRight w:val="0"/>
      <w:marTop w:val="0"/>
      <w:marBottom w:val="0"/>
      <w:divBdr>
        <w:top w:val="none" w:sz="0" w:space="0" w:color="auto"/>
        <w:left w:val="none" w:sz="0" w:space="0" w:color="auto"/>
        <w:bottom w:val="none" w:sz="0" w:space="0" w:color="auto"/>
        <w:right w:val="none" w:sz="0" w:space="0" w:color="auto"/>
      </w:divBdr>
    </w:div>
    <w:div w:id="539172572">
      <w:bodyDiv w:val="1"/>
      <w:marLeft w:val="0"/>
      <w:marRight w:val="0"/>
      <w:marTop w:val="0"/>
      <w:marBottom w:val="0"/>
      <w:divBdr>
        <w:top w:val="none" w:sz="0" w:space="0" w:color="auto"/>
        <w:left w:val="none" w:sz="0" w:space="0" w:color="auto"/>
        <w:bottom w:val="none" w:sz="0" w:space="0" w:color="auto"/>
        <w:right w:val="none" w:sz="0" w:space="0" w:color="auto"/>
      </w:divBdr>
    </w:div>
    <w:div w:id="567963606">
      <w:bodyDiv w:val="1"/>
      <w:marLeft w:val="0"/>
      <w:marRight w:val="0"/>
      <w:marTop w:val="0"/>
      <w:marBottom w:val="0"/>
      <w:divBdr>
        <w:top w:val="none" w:sz="0" w:space="0" w:color="auto"/>
        <w:left w:val="none" w:sz="0" w:space="0" w:color="auto"/>
        <w:bottom w:val="none" w:sz="0" w:space="0" w:color="auto"/>
        <w:right w:val="none" w:sz="0" w:space="0" w:color="auto"/>
      </w:divBdr>
    </w:div>
    <w:div w:id="710694864">
      <w:bodyDiv w:val="1"/>
      <w:marLeft w:val="0"/>
      <w:marRight w:val="0"/>
      <w:marTop w:val="0"/>
      <w:marBottom w:val="0"/>
      <w:divBdr>
        <w:top w:val="none" w:sz="0" w:space="0" w:color="auto"/>
        <w:left w:val="none" w:sz="0" w:space="0" w:color="auto"/>
        <w:bottom w:val="none" w:sz="0" w:space="0" w:color="auto"/>
        <w:right w:val="none" w:sz="0" w:space="0" w:color="auto"/>
      </w:divBdr>
    </w:div>
    <w:div w:id="801117643">
      <w:bodyDiv w:val="1"/>
      <w:marLeft w:val="0"/>
      <w:marRight w:val="0"/>
      <w:marTop w:val="0"/>
      <w:marBottom w:val="0"/>
      <w:divBdr>
        <w:top w:val="none" w:sz="0" w:space="0" w:color="auto"/>
        <w:left w:val="none" w:sz="0" w:space="0" w:color="auto"/>
        <w:bottom w:val="none" w:sz="0" w:space="0" w:color="auto"/>
        <w:right w:val="none" w:sz="0" w:space="0" w:color="auto"/>
      </w:divBdr>
    </w:div>
    <w:div w:id="880748728">
      <w:bodyDiv w:val="1"/>
      <w:marLeft w:val="0"/>
      <w:marRight w:val="0"/>
      <w:marTop w:val="0"/>
      <w:marBottom w:val="0"/>
      <w:divBdr>
        <w:top w:val="none" w:sz="0" w:space="0" w:color="auto"/>
        <w:left w:val="none" w:sz="0" w:space="0" w:color="auto"/>
        <w:bottom w:val="none" w:sz="0" w:space="0" w:color="auto"/>
        <w:right w:val="none" w:sz="0" w:space="0" w:color="auto"/>
      </w:divBdr>
    </w:div>
    <w:div w:id="1102145230">
      <w:bodyDiv w:val="1"/>
      <w:marLeft w:val="0"/>
      <w:marRight w:val="0"/>
      <w:marTop w:val="0"/>
      <w:marBottom w:val="0"/>
      <w:divBdr>
        <w:top w:val="none" w:sz="0" w:space="0" w:color="auto"/>
        <w:left w:val="none" w:sz="0" w:space="0" w:color="auto"/>
        <w:bottom w:val="none" w:sz="0" w:space="0" w:color="auto"/>
        <w:right w:val="none" w:sz="0" w:space="0" w:color="auto"/>
      </w:divBdr>
    </w:div>
    <w:div w:id="1142693579">
      <w:bodyDiv w:val="1"/>
      <w:marLeft w:val="0"/>
      <w:marRight w:val="0"/>
      <w:marTop w:val="0"/>
      <w:marBottom w:val="0"/>
      <w:divBdr>
        <w:top w:val="none" w:sz="0" w:space="0" w:color="auto"/>
        <w:left w:val="none" w:sz="0" w:space="0" w:color="auto"/>
        <w:bottom w:val="none" w:sz="0" w:space="0" w:color="auto"/>
        <w:right w:val="none" w:sz="0" w:space="0" w:color="auto"/>
      </w:divBdr>
    </w:div>
    <w:div w:id="1207991479">
      <w:bodyDiv w:val="1"/>
      <w:marLeft w:val="0"/>
      <w:marRight w:val="0"/>
      <w:marTop w:val="0"/>
      <w:marBottom w:val="0"/>
      <w:divBdr>
        <w:top w:val="none" w:sz="0" w:space="0" w:color="auto"/>
        <w:left w:val="none" w:sz="0" w:space="0" w:color="auto"/>
        <w:bottom w:val="none" w:sz="0" w:space="0" w:color="auto"/>
        <w:right w:val="none" w:sz="0" w:space="0" w:color="auto"/>
      </w:divBdr>
    </w:div>
    <w:div w:id="1286931795">
      <w:bodyDiv w:val="1"/>
      <w:marLeft w:val="0"/>
      <w:marRight w:val="0"/>
      <w:marTop w:val="0"/>
      <w:marBottom w:val="0"/>
      <w:divBdr>
        <w:top w:val="none" w:sz="0" w:space="0" w:color="auto"/>
        <w:left w:val="none" w:sz="0" w:space="0" w:color="auto"/>
        <w:bottom w:val="none" w:sz="0" w:space="0" w:color="auto"/>
        <w:right w:val="none" w:sz="0" w:space="0" w:color="auto"/>
      </w:divBdr>
    </w:div>
    <w:div w:id="1309479490">
      <w:bodyDiv w:val="1"/>
      <w:marLeft w:val="0"/>
      <w:marRight w:val="0"/>
      <w:marTop w:val="0"/>
      <w:marBottom w:val="0"/>
      <w:divBdr>
        <w:top w:val="none" w:sz="0" w:space="0" w:color="auto"/>
        <w:left w:val="none" w:sz="0" w:space="0" w:color="auto"/>
        <w:bottom w:val="none" w:sz="0" w:space="0" w:color="auto"/>
        <w:right w:val="none" w:sz="0" w:space="0" w:color="auto"/>
      </w:divBdr>
    </w:div>
    <w:div w:id="1356611929">
      <w:bodyDiv w:val="1"/>
      <w:marLeft w:val="0"/>
      <w:marRight w:val="0"/>
      <w:marTop w:val="0"/>
      <w:marBottom w:val="0"/>
      <w:divBdr>
        <w:top w:val="none" w:sz="0" w:space="0" w:color="auto"/>
        <w:left w:val="none" w:sz="0" w:space="0" w:color="auto"/>
        <w:bottom w:val="none" w:sz="0" w:space="0" w:color="auto"/>
        <w:right w:val="none" w:sz="0" w:space="0" w:color="auto"/>
      </w:divBdr>
    </w:div>
    <w:div w:id="1415250362">
      <w:bodyDiv w:val="1"/>
      <w:marLeft w:val="0"/>
      <w:marRight w:val="0"/>
      <w:marTop w:val="0"/>
      <w:marBottom w:val="0"/>
      <w:divBdr>
        <w:top w:val="none" w:sz="0" w:space="0" w:color="auto"/>
        <w:left w:val="none" w:sz="0" w:space="0" w:color="auto"/>
        <w:bottom w:val="none" w:sz="0" w:space="0" w:color="auto"/>
        <w:right w:val="none" w:sz="0" w:space="0" w:color="auto"/>
      </w:divBdr>
    </w:div>
    <w:div w:id="1600872352">
      <w:bodyDiv w:val="1"/>
      <w:marLeft w:val="0"/>
      <w:marRight w:val="0"/>
      <w:marTop w:val="0"/>
      <w:marBottom w:val="0"/>
      <w:divBdr>
        <w:top w:val="none" w:sz="0" w:space="0" w:color="auto"/>
        <w:left w:val="none" w:sz="0" w:space="0" w:color="auto"/>
        <w:bottom w:val="none" w:sz="0" w:space="0" w:color="auto"/>
        <w:right w:val="none" w:sz="0" w:space="0" w:color="auto"/>
      </w:divBdr>
    </w:div>
    <w:div w:id="1683505273">
      <w:bodyDiv w:val="1"/>
      <w:marLeft w:val="0"/>
      <w:marRight w:val="0"/>
      <w:marTop w:val="0"/>
      <w:marBottom w:val="0"/>
      <w:divBdr>
        <w:top w:val="none" w:sz="0" w:space="0" w:color="auto"/>
        <w:left w:val="none" w:sz="0" w:space="0" w:color="auto"/>
        <w:bottom w:val="none" w:sz="0" w:space="0" w:color="auto"/>
        <w:right w:val="none" w:sz="0" w:space="0" w:color="auto"/>
      </w:divBdr>
    </w:div>
    <w:div w:id="1686513362">
      <w:bodyDiv w:val="1"/>
      <w:marLeft w:val="0"/>
      <w:marRight w:val="0"/>
      <w:marTop w:val="0"/>
      <w:marBottom w:val="0"/>
      <w:divBdr>
        <w:top w:val="none" w:sz="0" w:space="0" w:color="auto"/>
        <w:left w:val="none" w:sz="0" w:space="0" w:color="auto"/>
        <w:bottom w:val="none" w:sz="0" w:space="0" w:color="auto"/>
        <w:right w:val="none" w:sz="0" w:space="0" w:color="auto"/>
      </w:divBdr>
    </w:div>
    <w:div w:id="1714649847">
      <w:bodyDiv w:val="1"/>
      <w:marLeft w:val="0"/>
      <w:marRight w:val="0"/>
      <w:marTop w:val="0"/>
      <w:marBottom w:val="0"/>
      <w:divBdr>
        <w:top w:val="none" w:sz="0" w:space="0" w:color="auto"/>
        <w:left w:val="none" w:sz="0" w:space="0" w:color="auto"/>
        <w:bottom w:val="none" w:sz="0" w:space="0" w:color="auto"/>
        <w:right w:val="none" w:sz="0" w:space="0" w:color="auto"/>
      </w:divBdr>
      <w:divsChild>
        <w:div w:id="395247811">
          <w:marLeft w:val="0"/>
          <w:marRight w:val="0"/>
          <w:marTop w:val="0"/>
          <w:marBottom w:val="0"/>
          <w:divBdr>
            <w:top w:val="none" w:sz="0" w:space="0" w:color="auto"/>
            <w:left w:val="none" w:sz="0" w:space="0" w:color="auto"/>
            <w:bottom w:val="none" w:sz="0" w:space="0" w:color="auto"/>
            <w:right w:val="none" w:sz="0" w:space="0" w:color="auto"/>
          </w:divBdr>
          <w:divsChild>
            <w:div w:id="31923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9889">
      <w:bodyDiv w:val="1"/>
      <w:marLeft w:val="0"/>
      <w:marRight w:val="0"/>
      <w:marTop w:val="0"/>
      <w:marBottom w:val="0"/>
      <w:divBdr>
        <w:top w:val="none" w:sz="0" w:space="0" w:color="auto"/>
        <w:left w:val="none" w:sz="0" w:space="0" w:color="auto"/>
        <w:bottom w:val="none" w:sz="0" w:space="0" w:color="auto"/>
        <w:right w:val="none" w:sz="0" w:space="0" w:color="auto"/>
      </w:divBdr>
    </w:div>
    <w:div w:id="1793358290">
      <w:bodyDiv w:val="1"/>
      <w:marLeft w:val="0"/>
      <w:marRight w:val="0"/>
      <w:marTop w:val="0"/>
      <w:marBottom w:val="0"/>
      <w:divBdr>
        <w:top w:val="none" w:sz="0" w:space="0" w:color="auto"/>
        <w:left w:val="none" w:sz="0" w:space="0" w:color="auto"/>
        <w:bottom w:val="none" w:sz="0" w:space="0" w:color="auto"/>
        <w:right w:val="none" w:sz="0" w:space="0" w:color="auto"/>
      </w:divBdr>
    </w:div>
    <w:div w:id="1864434920">
      <w:bodyDiv w:val="1"/>
      <w:marLeft w:val="0"/>
      <w:marRight w:val="0"/>
      <w:marTop w:val="0"/>
      <w:marBottom w:val="0"/>
      <w:divBdr>
        <w:top w:val="none" w:sz="0" w:space="0" w:color="auto"/>
        <w:left w:val="none" w:sz="0" w:space="0" w:color="auto"/>
        <w:bottom w:val="none" w:sz="0" w:space="0" w:color="auto"/>
        <w:right w:val="none" w:sz="0" w:space="0" w:color="auto"/>
      </w:divBdr>
    </w:div>
    <w:div w:id="1910381327">
      <w:bodyDiv w:val="1"/>
      <w:marLeft w:val="0"/>
      <w:marRight w:val="0"/>
      <w:marTop w:val="0"/>
      <w:marBottom w:val="0"/>
      <w:divBdr>
        <w:top w:val="none" w:sz="0" w:space="0" w:color="auto"/>
        <w:left w:val="none" w:sz="0" w:space="0" w:color="auto"/>
        <w:bottom w:val="none" w:sz="0" w:space="0" w:color="auto"/>
        <w:right w:val="none" w:sz="0" w:space="0" w:color="auto"/>
      </w:divBdr>
    </w:div>
    <w:div w:id="2056928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AAFE-DC6A-4D46-9DDF-8AF8569A8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1</Pages>
  <Words>414</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BernaB</dc:creator>
  <cp:lastModifiedBy>CE</cp:lastModifiedBy>
  <cp:revision>5</cp:revision>
  <dcterms:created xsi:type="dcterms:W3CDTF">2012-08-27T06:33:00Z</dcterms:created>
  <dcterms:modified xsi:type="dcterms:W3CDTF">2012-08-28T07:00:00Z</dcterms:modified>
</cp:coreProperties>
</file>