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62" w:rsidRDefault="00DB2862" w:rsidP="001A2CF6">
      <w:pPr>
        <w:pStyle w:val="Heading1"/>
        <w:spacing w:before="0"/>
        <w:rPr>
          <w:rFonts w:ascii="Times New Roman" w:hAnsi="Times New Roman" w:cs="Times New Roman"/>
          <w:lang w:val="tr-TR"/>
        </w:rPr>
      </w:pPr>
      <w:bookmarkStart w:id="0" w:name="_GoBack"/>
    </w:p>
    <w:p w:rsidR="003E0E76" w:rsidRPr="000875DE" w:rsidRDefault="003E0E76" w:rsidP="001A2CF6">
      <w:pPr>
        <w:pStyle w:val="Heading2"/>
        <w:spacing w:before="0"/>
        <w:rPr>
          <w:rFonts w:ascii="Times New Roman" w:hAnsi="Times New Roman" w:cs="Times New Roman"/>
        </w:rPr>
      </w:pPr>
      <w:r w:rsidRPr="000875DE">
        <w:rPr>
          <w:rFonts w:ascii="Times New Roman" w:hAnsi="Times New Roman" w:cs="Times New Roman"/>
        </w:rPr>
        <w:t>6322 Sayılı Torba Kanun:</w:t>
      </w:r>
    </w:p>
    <w:p w:rsidR="0054396F" w:rsidRDefault="0054396F" w:rsidP="001A2CF6">
      <w:pPr>
        <w:rPr>
          <w:rFonts w:ascii="Times New Roman" w:hAnsi="Times New Roman" w:cs="Times New Roman"/>
          <w:color w:val="000000"/>
          <w:sz w:val="24"/>
          <w:szCs w:val="24"/>
        </w:rPr>
      </w:pPr>
    </w:p>
    <w:p w:rsidR="003E0E76" w:rsidRPr="000875DE" w:rsidRDefault="003E0E76" w:rsidP="001A2CF6">
      <w:pPr>
        <w:rPr>
          <w:rFonts w:ascii="Times New Roman" w:hAnsi="Times New Roman" w:cs="Times New Roman"/>
          <w:color w:val="000000"/>
          <w:sz w:val="24"/>
          <w:szCs w:val="24"/>
        </w:rPr>
      </w:pPr>
      <w:r w:rsidRPr="000875DE">
        <w:rPr>
          <w:rFonts w:ascii="Times New Roman" w:hAnsi="Times New Roman" w:cs="Times New Roman"/>
          <w:color w:val="000000"/>
          <w:sz w:val="24"/>
          <w:szCs w:val="24"/>
        </w:rPr>
        <w:t xml:space="preserve">30 Mayıs’ta bilgilendirmiş olduğumuz 6322 sayılı </w:t>
      </w:r>
      <w:r w:rsidRPr="000875DE">
        <w:rPr>
          <w:rFonts w:ascii="Times New Roman" w:hAnsi="Times New Roman" w:cs="Times New Roman"/>
          <w:i/>
          <w:color w:val="000000"/>
          <w:sz w:val="24"/>
          <w:szCs w:val="24"/>
        </w:rPr>
        <w:t xml:space="preserve">Amme Alacaklarının Tahsil Usulü Hakkında Kanun ile Bazı Kanunlarda Değişiklik Yapılmasına Dair Kanun </w:t>
      </w:r>
      <w:r w:rsidRPr="000875DE">
        <w:rPr>
          <w:rFonts w:ascii="Times New Roman" w:hAnsi="Times New Roman" w:cs="Times New Roman"/>
          <w:color w:val="000000"/>
          <w:sz w:val="24"/>
          <w:szCs w:val="24"/>
        </w:rPr>
        <w:t xml:space="preserve">31 Mayıs’ta kabul edilip 15 Haziran 2012’de 28324 sayılı Resmi </w:t>
      </w:r>
      <w:proofErr w:type="spellStart"/>
      <w:r w:rsidRPr="000875DE">
        <w:rPr>
          <w:rFonts w:ascii="Times New Roman" w:hAnsi="Times New Roman" w:cs="Times New Roman"/>
          <w:color w:val="000000"/>
          <w:sz w:val="24"/>
          <w:szCs w:val="24"/>
        </w:rPr>
        <w:t>Gazete’de</w:t>
      </w:r>
      <w:proofErr w:type="spellEnd"/>
      <w:r w:rsidRPr="000875DE">
        <w:rPr>
          <w:rFonts w:ascii="Times New Roman" w:hAnsi="Times New Roman" w:cs="Times New Roman"/>
          <w:color w:val="000000"/>
          <w:sz w:val="24"/>
          <w:szCs w:val="24"/>
        </w:rPr>
        <w:t xml:space="preserve"> yayımlanmıştır.</w:t>
      </w:r>
    </w:p>
    <w:p w:rsidR="003E0E76" w:rsidRPr="000875DE" w:rsidRDefault="003E0E76" w:rsidP="001A2CF6">
      <w:pPr>
        <w:rPr>
          <w:rFonts w:ascii="Times New Roman" w:hAnsi="Times New Roman" w:cs="Times New Roman"/>
          <w:color w:val="000000"/>
          <w:sz w:val="24"/>
          <w:szCs w:val="24"/>
        </w:rPr>
      </w:pPr>
      <w:r w:rsidRPr="000875DE">
        <w:rPr>
          <w:rFonts w:ascii="Times New Roman" w:hAnsi="Times New Roman" w:cs="Times New Roman"/>
          <w:color w:val="000000"/>
          <w:sz w:val="24"/>
          <w:szCs w:val="24"/>
        </w:rPr>
        <w:t>Kanun ile getirilen değişiklikler özetle aşağıdaki gibidir, daha detay bilgiyi ekteki bilgi notumuzda bulabilirsiniz:</w:t>
      </w:r>
    </w:p>
    <w:p w:rsidR="003E0E76" w:rsidRPr="000875DE" w:rsidRDefault="003E0E76" w:rsidP="001A2CF6">
      <w:pPr>
        <w:pStyle w:val="ListParagraph"/>
        <w:numPr>
          <w:ilvl w:val="0"/>
          <w:numId w:val="6"/>
        </w:numPr>
        <w:ind w:left="567"/>
        <w:rPr>
          <w:rFonts w:ascii="Times New Roman" w:hAnsi="Times New Roman" w:cs="Times New Roman"/>
          <w:color w:val="000000"/>
          <w:sz w:val="24"/>
          <w:szCs w:val="24"/>
        </w:rPr>
      </w:pPr>
      <w:r w:rsidRPr="000875DE">
        <w:rPr>
          <w:rFonts w:ascii="Times New Roman" w:hAnsi="Times New Roman" w:cs="Times New Roman"/>
          <w:color w:val="000000"/>
          <w:sz w:val="24"/>
          <w:szCs w:val="24"/>
        </w:rPr>
        <w:t>Gelir Vergisi’ndeki değişiklikler:</w:t>
      </w:r>
    </w:p>
    <w:p w:rsidR="003E0E76" w:rsidRPr="000875DE" w:rsidRDefault="003E0E76" w:rsidP="001A2CF6">
      <w:pPr>
        <w:pStyle w:val="ListParagraph"/>
        <w:numPr>
          <w:ilvl w:val="1"/>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İndirim ve istisnalardaki değişiklikler</w:t>
      </w:r>
    </w:p>
    <w:p w:rsidR="003E0E76" w:rsidRPr="000875DE" w:rsidRDefault="003E0E76" w:rsidP="001A2CF6">
      <w:pPr>
        <w:pStyle w:val="ListParagraph"/>
        <w:numPr>
          <w:ilvl w:val="1"/>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Menkul sermaye gelirlerine yönelik değişiklikler</w:t>
      </w:r>
    </w:p>
    <w:p w:rsidR="003E0E76" w:rsidRPr="000875DE" w:rsidRDefault="003E0E76" w:rsidP="001A2CF6">
      <w:pPr>
        <w:pStyle w:val="ListParagraph"/>
        <w:numPr>
          <w:ilvl w:val="0"/>
          <w:numId w:val="6"/>
        </w:numPr>
        <w:ind w:left="567"/>
        <w:rPr>
          <w:rFonts w:ascii="Times New Roman" w:hAnsi="Times New Roman" w:cs="Times New Roman"/>
          <w:color w:val="000000"/>
          <w:sz w:val="24"/>
          <w:szCs w:val="24"/>
        </w:rPr>
      </w:pPr>
      <w:r w:rsidRPr="000875DE">
        <w:rPr>
          <w:rFonts w:ascii="Times New Roman" w:hAnsi="Times New Roman" w:cs="Times New Roman"/>
          <w:color w:val="000000"/>
          <w:sz w:val="24"/>
          <w:szCs w:val="24"/>
        </w:rPr>
        <w:t>Girişim sermayesi fonunun getirilmesi</w:t>
      </w:r>
    </w:p>
    <w:p w:rsidR="003E0E76" w:rsidRPr="000875DE" w:rsidRDefault="003E0E76" w:rsidP="001A2CF6">
      <w:pPr>
        <w:pStyle w:val="ListParagraph"/>
        <w:numPr>
          <w:ilvl w:val="0"/>
          <w:numId w:val="6"/>
        </w:numPr>
        <w:ind w:left="567"/>
        <w:rPr>
          <w:rFonts w:ascii="Times New Roman" w:hAnsi="Times New Roman" w:cs="Times New Roman"/>
          <w:color w:val="000000"/>
          <w:sz w:val="24"/>
          <w:szCs w:val="24"/>
        </w:rPr>
      </w:pPr>
      <w:r w:rsidRPr="000875DE">
        <w:rPr>
          <w:rFonts w:ascii="Times New Roman" w:hAnsi="Times New Roman" w:cs="Times New Roman"/>
          <w:color w:val="000000"/>
          <w:sz w:val="24"/>
          <w:szCs w:val="24"/>
        </w:rPr>
        <w:t>Portföy yöneticiliği yetkisine sahip Türkiye’de yerleşik şirketlerin yabancı fonları yönetmesine ilişkin uygulamalar</w:t>
      </w:r>
    </w:p>
    <w:p w:rsidR="003D418D" w:rsidRPr="000875DE" w:rsidRDefault="003D418D" w:rsidP="001A2CF6">
      <w:pPr>
        <w:pStyle w:val="ListParagraph"/>
        <w:numPr>
          <w:ilvl w:val="0"/>
          <w:numId w:val="6"/>
        </w:numPr>
        <w:ind w:left="567"/>
        <w:rPr>
          <w:rFonts w:ascii="Times New Roman" w:hAnsi="Times New Roman" w:cs="Times New Roman"/>
          <w:color w:val="000000"/>
          <w:sz w:val="24"/>
          <w:szCs w:val="24"/>
        </w:rPr>
      </w:pPr>
      <w:r w:rsidRPr="000875DE">
        <w:rPr>
          <w:rFonts w:ascii="Times New Roman" w:hAnsi="Times New Roman" w:cs="Times New Roman"/>
          <w:color w:val="000000"/>
          <w:sz w:val="24"/>
          <w:szCs w:val="24"/>
        </w:rPr>
        <w:t>Kurumlar Vergisi’ndeki değişiklikler:</w:t>
      </w:r>
    </w:p>
    <w:p w:rsidR="003D418D" w:rsidRPr="000875DE" w:rsidRDefault="003D418D" w:rsidP="001A2CF6">
      <w:pPr>
        <w:pStyle w:val="ListParagraph"/>
        <w:numPr>
          <w:ilvl w:val="1"/>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Matrahın tespitinde yabancı kaynak maliyetinin gider kaydı</w:t>
      </w:r>
    </w:p>
    <w:p w:rsidR="003D418D" w:rsidRPr="000875DE" w:rsidRDefault="003D418D" w:rsidP="001A2CF6">
      <w:pPr>
        <w:pStyle w:val="ListParagraph"/>
        <w:numPr>
          <w:ilvl w:val="1"/>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Matrah tespitindeki indirimlerde değişiklikler</w:t>
      </w:r>
    </w:p>
    <w:p w:rsidR="003D418D" w:rsidRPr="000875DE" w:rsidRDefault="003D418D" w:rsidP="001A2CF6">
      <w:pPr>
        <w:pStyle w:val="ListParagraph"/>
        <w:numPr>
          <w:ilvl w:val="0"/>
          <w:numId w:val="6"/>
        </w:numPr>
        <w:ind w:left="567"/>
        <w:rPr>
          <w:rFonts w:ascii="Times New Roman" w:hAnsi="Times New Roman" w:cs="Times New Roman"/>
          <w:color w:val="000000"/>
          <w:sz w:val="24"/>
          <w:szCs w:val="24"/>
        </w:rPr>
      </w:pPr>
      <w:r w:rsidRPr="000875DE">
        <w:rPr>
          <w:rFonts w:ascii="Times New Roman" w:hAnsi="Times New Roman" w:cs="Times New Roman"/>
          <w:color w:val="000000"/>
          <w:sz w:val="24"/>
          <w:szCs w:val="24"/>
        </w:rPr>
        <w:t>Yatırımlarda teşvikler</w:t>
      </w:r>
    </w:p>
    <w:p w:rsidR="003D418D" w:rsidRPr="000875DE" w:rsidRDefault="003D418D" w:rsidP="001A2CF6">
      <w:pPr>
        <w:pStyle w:val="ListParagraph"/>
        <w:numPr>
          <w:ilvl w:val="0"/>
          <w:numId w:val="6"/>
        </w:numPr>
        <w:ind w:left="567"/>
        <w:rPr>
          <w:rFonts w:ascii="Times New Roman" w:hAnsi="Times New Roman" w:cs="Times New Roman"/>
          <w:color w:val="000000"/>
          <w:sz w:val="24"/>
          <w:szCs w:val="24"/>
        </w:rPr>
      </w:pPr>
      <w:r w:rsidRPr="000875DE">
        <w:rPr>
          <w:rFonts w:ascii="Times New Roman" w:hAnsi="Times New Roman" w:cs="Times New Roman"/>
          <w:color w:val="000000"/>
          <w:sz w:val="24"/>
          <w:szCs w:val="24"/>
        </w:rPr>
        <w:t>Kredilerde damga vergisi ve harçlarda yapılan değişiklikler</w:t>
      </w:r>
    </w:p>
    <w:p w:rsidR="003D418D" w:rsidRPr="000875DE" w:rsidRDefault="003D418D" w:rsidP="001A2CF6">
      <w:pPr>
        <w:pStyle w:val="ListParagraph"/>
        <w:numPr>
          <w:ilvl w:val="0"/>
          <w:numId w:val="6"/>
        </w:numPr>
        <w:ind w:left="567"/>
        <w:rPr>
          <w:rFonts w:ascii="Times New Roman" w:hAnsi="Times New Roman" w:cs="Times New Roman"/>
          <w:color w:val="000000"/>
          <w:sz w:val="24"/>
          <w:szCs w:val="24"/>
        </w:rPr>
      </w:pPr>
      <w:r w:rsidRPr="000875DE">
        <w:rPr>
          <w:rFonts w:ascii="Times New Roman" w:hAnsi="Times New Roman" w:cs="Times New Roman"/>
          <w:color w:val="000000"/>
          <w:sz w:val="24"/>
          <w:szCs w:val="24"/>
        </w:rPr>
        <w:t>KDV’deki değişiklikler:</w:t>
      </w:r>
    </w:p>
    <w:p w:rsidR="003D418D" w:rsidRPr="000875DE" w:rsidRDefault="003D418D" w:rsidP="001A2CF6">
      <w:pPr>
        <w:pStyle w:val="ListParagraph"/>
        <w:numPr>
          <w:ilvl w:val="1"/>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Sermaye piyasası araçlarına yönelik değişiklikler</w:t>
      </w:r>
    </w:p>
    <w:p w:rsidR="003D418D" w:rsidRPr="000875DE" w:rsidRDefault="003D418D" w:rsidP="001A2CF6">
      <w:pPr>
        <w:pStyle w:val="ListParagraph"/>
        <w:numPr>
          <w:ilvl w:val="1"/>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Konut teslimindeki KDV oranı</w:t>
      </w:r>
    </w:p>
    <w:p w:rsidR="003D418D" w:rsidRPr="000875DE" w:rsidRDefault="003D418D" w:rsidP="001A2CF6">
      <w:pPr>
        <w:pStyle w:val="ListParagraph"/>
        <w:numPr>
          <w:ilvl w:val="0"/>
          <w:numId w:val="6"/>
        </w:numPr>
        <w:ind w:left="567"/>
        <w:rPr>
          <w:rFonts w:ascii="Times New Roman" w:hAnsi="Times New Roman" w:cs="Times New Roman"/>
          <w:color w:val="000000"/>
          <w:sz w:val="24"/>
          <w:szCs w:val="24"/>
        </w:rPr>
      </w:pPr>
      <w:r w:rsidRPr="000875DE">
        <w:rPr>
          <w:rFonts w:ascii="Times New Roman" w:hAnsi="Times New Roman" w:cs="Times New Roman"/>
          <w:color w:val="000000"/>
          <w:sz w:val="24"/>
          <w:szCs w:val="24"/>
        </w:rPr>
        <w:t>Vergi İdaresi tarafından yapılan iadelerde faiz uygulanması</w:t>
      </w:r>
    </w:p>
    <w:p w:rsidR="003D418D" w:rsidRPr="000875DE" w:rsidRDefault="003D418D" w:rsidP="001A2CF6">
      <w:pPr>
        <w:pStyle w:val="ListParagraph"/>
        <w:numPr>
          <w:ilvl w:val="0"/>
          <w:numId w:val="6"/>
        </w:numPr>
        <w:ind w:left="567"/>
        <w:rPr>
          <w:rFonts w:ascii="Times New Roman" w:hAnsi="Times New Roman" w:cs="Times New Roman"/>
          <w:color w:val="000000"/>
          <w:sz w:val="24"/>
          <w:szCs w:val="24"/>
        </w:rPr>
      </w:pPr>
      <w:r w:rsidRPr="000875DE">
        <w:rPr>
          <w:rFonts w:ascii="Times New Roman" w:hAnsi="Times New Roman" w:cs="Times New Roman"/>
          <w:color w:val="000000"/>
          <w:sz w:val="24"/>
          <w:szCs w:val="24"/>
        </w:rPr>
        <w:t>6111 sayılı Kanun kapsamında yapılandırılan borçlarla ilgili ödemelerini süresinde yapmamış olup hakkını kaybedenler için düzenleme</w:t>
      </w:r>
    </w:p>
    <w:p w:rsidR="007A0F57" w:rsidRPr="000875DE" w:rsidRDefault="007A0F57" w:rsidP="001A2CF6">
      <w:pPr>
        <w:rPr>
          <w:rFonts w:ascii="Times New Roman" w:hAnsi="Times New Roman" w:cs="Times New Roman"/>
          <w:color w:val="000000"/>
          <w:sz w:val="24"/>
          <w:szCs w:val="24"/>
        </w:rPr>
      </w:pPr>
    </w:p>
    <w:p w:rsidR="007A0F57" w:rsidRPr="000875DE" w:rsidRDefault="001D4E07" w:rsidP="001A2CF6">
      <w:pPr>
        <w:pStyle w:val="Heading2"/>
        <w:spacing w:before="0"/>
        <w:rPr>
          <w:rFonts w:ascii="Times New Roman" w:hAnsi="Times New Roman" w:cs="Times New Roman"/>
        </w:rPr>
      </w:pPr>
      <w:r w:rsidRPr="000875DE">
        <w:rPr>
          <w:rFonts w:ascii="Times New Roman" w:hAnsi="Times New Roman" w:cs="Times New Roman"/>
        </w:rPr>
        <w:t>Yeni Teşvik Mevzuatı</w:t>
      </w:r>
    </w:p>
    <w:p w:rsidR="001715D1" w:rsidRDefault="001715D1" w:rsidP="001A2CF6">
      <w:pPr>
        <w:rPr>
          <w:rFonts w:ascii="Times New Roman" w:hAnsi="Times New Roman" w:cs="Times New Roman"/>
          <w:color w:val="000000"/>
          <w:sz w:val="24"/>
          <w:szCs w:val="24"/>
        </w:rPr>
      </w:pPr>
    </w:p>
    <w:p w:rsidR="001D4E07" w:rsidRPr="000875DE" w:rsidRDefault="001D4E07" w:rsidP="001A2CF6">
      <w:pPr>
        <w:rPr>
          <w:rFonts w:ascii="Times New Roman" w:hAnsi="Times New Roman" w:cs="Times New Roman"/>
          <w:color w:val="000000"/>
          <w:sz w:val="24"/>
          <w:szCs w:val="24"/>
        </w:rPr>
      </w:pPr>
      <w:r w:rsidRPr="000875DE">
        <w:rPr>
          <w:rFonts w:ascii="Times New Roman" w:hAnsi="Times New Roman" w:cs="Times New Roman"/>
          <w:color w:val="000000"/>
          <w:sz w:val="24"/>
          <w:szCs w:val="24"/>
        </w:rPr>
        <w:t>19 Mayıs’</w:t>
      </w:r>
      <w:r w:rsidR="00F056AB" w:rsidRPr="000875DE">
        <w:rPr>
          <w:rFonts w:ascii="Times New Roman" w:hAnsi="Times New Roman" w:cs="Times New Roman"/>
          <w:color w:val="000000"/>
          <w:sz w:val="24"/>
          <w:szCs w:val="24"/>
        </w:rPr>
        <w:t xml:space="preserve">ta 28328 sayılı Resmi </w:t>
      </w:r>
      <w:proofErr w:type="spellStart"/>
      <w:r w:rsidR="00F056AB" w:rsidRPr="000875DE">
        <w:rPr>
          <w:rFonts w:ascii="Times New Roman" w:hAnsi="Times New Roman" w:cs="Times New Roman"/>
          <w:color w:val="000000"/>
          <w:sz w:val="24"/>
          <w:szCs w:val="24"/>
        </w:rPr>
        <w:t>Gazete’de</w:t>
      </w:r>
      <w:proofErr w:type="spellEnd"/>
      <w:r w:rsidR="00F056AB" w:rsidRPr="000875DE">
        <w:rPr>
          <w:rFonts w:ascii="Times New Roman" w:hAnsi="Times New Roman" w:cs="Times New Roman"/>
          <w:color w:val="000000"/>
          <w:sz w:val="24"/>
          <w:szCs w:val="24"/>
        </w:rPr>
        <w:t xml:space="preserve"> yayımlanan </w:t>
      </w:r>
      <w:r w:rsidR="00F056AB" w:rsidRPr="000875DE">
        <w:rPr>
          <w:rFonts w:ascii="Times New Roman" w:hAnsi="Times New Roman" w:cs="Times New Roman"/>
          <w:i/>
          <w:color w:val="000000"/>
          <w:sz w:val="24"/>
          <w:szCs w:val="24"/>
        </w:rPr>
        <w:t xml:space="preserve">Yatırımlarda Devlet Yardımları Hakkında Karar </w:t>
      </w:r>
      <w:r w:rsidR="00F056AB" w:rsidRPr="000875DE">
        <w:rPr>
          <w:rFonts w:ascii="Times New Roman" w:hAnsi="Times New Roman" w:cs="Times New Roman"/>
          <w:color w:val="000000"/>
          <w:sz w:val="24"/>
          <w:szCs w:val="24"/>
        </w:rPr>
        <w:t xml:space="preserve">ile 20 Mayıs’ta 28329 sayılı Resmi </w:t>
      </w:r>
      <w:proofErr w:type="spellStart"/>
      <w:r w:rsidR="00F056AB" w:rsidRPr="000875DE">
        <w:rPr>
          <w:rFonts w:ascii="Times New Roman" w:hAnsi="Times New Roman" w:cs="Times New Roman"/>
          <w:color w:val="000000"/>
          <w:sz w:val="24"/>
          <w:szCs w:val="24"/>
        </w:rPr>
        <w:t>Gazete’de</w:t>
      </w:r>
      <w:proofErr w:type="spellEnd"/>
      <w:r w:rsidR="00F056AB" w:rsidRPr="000875DE">
        <w:rPr>
          <w:rFonts w:ascii="Times New Roman" w:hAnsi="Times New Roman" w:cs="Times New Roman"/>
          <w:color w:val="000000"/>
          <w:sz w:val="24"/>
          <w:szCs w:val="24"/>
        </w:rPr>
        <w:t xml:space="preserve"> yayımlanan </w:t>
      </w:r>
      <w:r w:rsidR="00F056AB" w:rsidRPr="000875DE">
        <w:rPr>
          <w:rFonts w:ascii="Times New Roman" w:hAnsi="Times New Roman" w:cs="Times New Roman"/>
          <w:i/>
          <w:color w:val="000000"/>
          <w:sz w:val="24"/>
          <w:szCs w:val="24"/>
        </w:rPr>
        <w:t xml:space="preserve">Yatırımlarda Devlet Yardımları Hakkında Kararın Uygulanmasına İlişkin Tebliğ </w:t>
      </w:r>
      <w:r w:rsidR="00F056AB" w:rsidRPr="000875DE">
        <w:rPr>
          <w:rFonts w:ascii="Times New Roman" w:hAnsi="Times New Roman" w:cs="Times New Roman"/>
          <w:color w:val="000000"/>
          <w:sz w:val="24"/>
          <w:szCs w:val="24"/>
        </w:rPr>
        <w:t xml:space="preserve">ile teşvik mevzuatına </w:t>
      </w:r>
      <w:r w:rsidR="00304985" w:rsidRPr="000875DE">
        <w:rPr>
          <w:rFonts w:ascii="Times New Roman" w:hAnsi="Times New Roman" w:cs="Times New Roman"/>
          <w:color w:val="000000"/>
          <w:sz w:val="24"/>
          <w:szCs w:val="24"/>
        </w:rPr>
        <w:t xml:space="preserve">özet olarak </w:t>
      </w:r>
      <w:r w:rsidR="00F056AB" w:rsidRPr="000875DE">
        <w:rPr>
          <w:rFonts w:ascii="Times New Roman" w:hAnsi="Times New Roman" w:cs="Times New Roman"/>
          <w:color w:val="000000"/>
          <w:sz w:val="24"/>
          <w:szCs w:val="24"/>
        </w:rPr>
        <w:t>aşağıdaki yenilikler getirilmiştir:</w:t>
      </w:r>
    </w:p>
    <w:p w:rsidR="001A2CF6" w:rsidRPr="000875DE" w:rsidRDefault="001A2CF6" w:rsidP="001A2CF6">
      <w:pPr>
        <w:pStyle w:val="ListParagraph"/>
        <w:numPr>
          <w:ilvl w:val="0"/>
          <w:numId w:val="8"/>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Destek unsurları genel, bölgesel, büyük ölçekli yatırımlar ve stratejik yatırımlara yönelik olarak 4 uygulamadan oluşmaktadır</w:t>
      </w:r>
      <w:r w:rsidR="007A5F1B" w:rsidRPr="000875DE">
        <w:rPr>
          <w:rFonts w:ascii="Times New Roman" w:hAnsi="Times New Roman" w:cs="Times New Roman"/>
          <w:color w:val="000000"/>
          <w:sz w:val="24"/>
          <w:szCs w:val="24"/>
        </w:rPr>
        <w:t>;</w:t>
      </w:r>
    </w:p>
    <w:p w:rsidR="001715D1" w:rsidRPr="001715D1" w:rsidRDefault="001715D1" w:rsidP="001715D1">
      <w:pPr>
        <w:pStyle w:val="ListParagraph"/>
        <w:ind w:left="1080"/>
        <w:rPr>
          <w:rFonts w:ascii="Times New Roman" w:hAnsi="Times New Roman" w:cs="Times New Roman"/>
          <w:color w:val="000000"/>
          <w:sz w:val="24"/>
          <w:szCs w:val="24"/>
        </w:rPr>
      </w:pPr>
    </w:p>
    <w:p w:rsidR="007A5F1B" w:rsidRPr="000875DE" w:rsidRDefault="007A5F1B" w:rsidP="007A5F1B">
      <w:pPr>
        <w:pStyle w:val="ListParagraph"/>
        <w:numPr>
          <w:ilvl w:val="1"/>
          <w:numId w:val="8"/>
        </w:numPr>
        <w:rPr>
          <w:rFonts w:ascii="Times New Roman" w:hAnsi="Times New Roman" w:cs="Times New Roman"/>
          <w:color w:val="000000"/>
          <w:sz w:val="24"/>
          <w:szCs w:val="24"/>
        </w:rPr>
      </w:pPr>
      <w:r w:rsidRPr="000875DE">
        <w:rPr>
          <w:rFonts w:ascii="Times New Roman" w:hAnsi="Times New Roman" w:cs="Times New Roman"/>
          <w:color w:val="000000"/>
          <w:sz w:val="24"/>
          <w:szCs w:val="24"/>
          <w:u w:val="single"/>
        </w:rPr>
        <w:t>Genel teşvik uygulamaları</w:t>
      </w:r>
      <w:r w:rsidRPr="000875DE">
        <w:rPr>
          <w:rFonts w:ascii="Times New Roman" w:hAnsi="Times New Roman" w:cs="Times New Roman"/>
          <w:color w:val="000000"/>
          <w:sz w:val="24"/>
          <w:szCs w:val="24"/>
        </w:rPr>
        <w:t>:</w:t>
      </w:r>
      <w:r w:rsidRPr="000875DE">
        <w:rPr>
          <w:rFonts w:ascii="Times New Roman" w:hAnsi="Times New Roman" w:cs="Times New Roman"/>
        </w:rPr>
        <w:t xml:space="preserve"> T</w:t>
      </w:r>
      <w:r w:rsidRPr="000875DE">
        <w:rPr>
          <w:rFonts w:ascii="Times New Roman" w:hAnsi="Times New Roman" w:cs="Times New Roman"/>
          <w:color w:val="000000"/>
          <w:sz w:val="24"/>
          <w:szCs w:val="24"/>
        </w:rPr>
        <w:t>eşvik edilmeyecek veya teşviki için aranan şartları sağlayamayan yatırım konuları hariç olmak üzere, asgari sabit yatırım tutarı ve kapasiteler üzerindeki yatırımlar bölge ayrımı yapılmaksızın desteklenmesine yöneliktir.</w:t>
      </w:r>
    </w:p>
    <w:p w:rsidR="007A5F1B" w:rsidRPr="000875DE" w:rsidRDefault="007A5F1B" w:rsidP="007A5F1B">
      <w:pPr>
        <w:pStyle w:val="ListParagraph"/>
        <w:numPr>
          <w:ilvl w:val="1"/>
          <w:numId w:val="8"/>
        </w:numPr>
        <w:rPr>
          <w:rFonts w:ascii="Times New Roman" w:hAnsi="Times New Roman" w:cs="Times New Roman"/>
          <w:color w:val="000000"/>
          <w:sz w:val="24"/>
          <w:szCs w:val="24"/>
        </w:rPr>
      </w:pPr>
      <w:r w:rsidRPr="000875DE">
        <w:rPr>
          <w:rFonts w:ascii="Times New Roman" w:hAnsi="Times New Roman" w:cs="Times New Roman"/>
          <w:color w:val="000000"/>
          <w:sz w:val="24"/>
          <w:szCs w:val="24"/>
          <w:u w:val="single"/>
        </w:rPr>
        <w:lastRenderedPageBreak/>
        <w:t>Bölgesel teşvik uygulamaları</w:t>
      </w:r>
      <w:r w:rsidRPr="000875DE">
        <w:rPr>
          <w:rFonts w:ascii="Times New Roman" w:hAnsi="Times New Roman" w:cs="Times New Roman"/>
          <w:color w:val="000000"/>
          <w:sz w:val="24"/>
          <w:szCs w:val="24"/>
        </w:rPr>
        <w:t xml:space="preserve">: Uygulanması açısından iller, </w:t>
      </w:r>
      <w:proofErr w:type="spellStart"/>
      <w:r w:rsidRPr="000875DE">
        <w:rPr>
          <w:rFonts w:ascii="Times New Roman" w:hAnsi="Times New Roman" w:cs="Times New Roman"/>
          <w:color w:val="000000"/>
          <w:sz w:val="24"/>
          <w:szCs w:val="24"/>
        </w:rPr>
        <w:t>sosyo</w:t>
      </w:r>
      <w:proofErr w:type="spellEnd"/>
      <w:r w:rsidRPr="000875DE">
        <w:rPr>
          <w:rFonts w:ascii="Times New Roman" w:hAnsi="Times New Roman" w:cs="Times New Roman"/>
          <w:color w:val="000000"/>
          <w:sz w:val="24"/>
          <w:szCs w:val="24"/>
        </w:rPr>
        <w:t>-ekonomik gelişmişlik seviyeleri dikkate alınarak 4 bölge yerine 6 bölgeye ayrılmıştır</w:t>
      </w:r>
    </w:p>
    <w:p w:rsidR="007A5F1B" w:rsidRPr="000875DE" w:rsidRDefault="007A5F1B" w:rsidP="007A5F1B">
      <w:pPr>
        <w:pStyle w:val="ListParagraph"/>
        <w:numPr>
          <w:ilvl w:val="1"/>
          <w:numId w:val="8"/>
        </w:numPr>
        <w:rPr>
          <w:rFonts w:ascii="Times New Roman" w:hAnsi="Times New Roman" w:cs="Times New Roman"/>
          <w:color w:val="000000"/>
          <w:sz w:val="24"/>
          <w:szCs w:val="24"/>
        </w:rPr>
      </w:pPr>
      <w:r w:rsidRPr="000875DE">
        <w:rPr>
          <w:rFonts w:ascii="Times New Roman" w:hAnsi="Times New Roman" w:cs="Times New Roman"/>
          <w:color w:val="000000"/>
          <w:sz w:val="24"/>
          <w:szCs w:val="24"/>
          <w:u w:val="single"/>
        </w:rPr>
        <w:t>Büyük ölçekli yatırımlar</w:t>
      </w:r>
      <w:r w:rsidRPr="000875DE">
        <w:rPr>
          <w:rFonts w:ascii="Times New Roman" w:hAnsi="Times New Roman" w:cs="Times New Roman"/>
          <w:color w:val="000000"/>
          <w:sz w:val="24"/>
          <w:szCs w:val="24"/>
        </w:rPr>
        <w:t>: Bazı sektörlere yönelik asgari yatırım tutarları değiştirilmiştir</w:t>
      </w:r>
    </w:p>
    <w:p w:rsidR="00537C03" w:rsidRPr="000875DE" w:rsidRDefault="007A5F1B" w:rsidP="007A5F1B">
      <w:pPr>
        <w:pStyle w:val="ListParagraph"/>
        <w:numPr>
          <w:ilvl w:val="1"/>
          <w:numId w:val="8"/>
        </w:numPr>
        <w:rPr>
          <w:rFonts w:ascii="Times New Roman" w:hAnsi="Times New Roman" w:cs="Times New Roman"/>
          <w:color w:val="000000"/>
          <w:sz w:val="24"/>
          <w:szCs w:val="24"/>
        </w:rPr>
      </w:pPr>
      <w:r w:rsidRPr="000875DE">
        <w:rPr>
          <w:rFonts w:ascii="Times New Roman" w:hAnsi="Times New Roman" w:cs="Times New Roman"/>
          <w:color w:val="000000"/>
          <w:sz w:val="24"/>
          <w:szCs w:val="24"/>
          <w:u w:val="single"/>
        </w:rPr>
        <w:t>Stratejik yatırımlar</w:t>
      </w:r>
      <w:r w:rsidRPr="000875DE">
        <w:rPr>
          <w:rFonts w:ascii="Times New Roman" w:hAnsi="Times New Roman" w:cs="Times New Roman"/>
          <w:color w:val="000000"/>
          <w:sz w:val="24"/>
          <w:szCs w:val="24"/>
        </w:rPr>
        <w:t>: Bu teşvik unsuru da yeni olup ithalat bağımlılığı yüksek olan ara malı veya ürünlerin üretimine yönelik yatırımların desteklenmesine yöneliktir.</w:t>
      </w:r>
    </w:p>
    <w:tbl>
      <w:tblPr>
        <w:tblStyle w:val="LightList-Accent1"/>
        <w:tblW w:w="9316" w:type="dxa"/>
        <w:tblLayout w:type="fixed"/>
        <w:tblLook w:val="00A0" w:firstRow="1" w:lastRow="0" w:firstColumn="1" w:lastColumn="0" w:noHBand="0" w:noVBand="0"/>
      </w:tblPr>
      <w:tblGrid>
        <w:gridCol w:w="3227"/>
        <w:gridCol w:w="1559"/>
        <w:gridCol w:w="1559"/>
        <w:gridCol w:w="1560"/>
        <w:gridCol w:w="1411"/>
      </w:tblGrid>
      <w:tr w:rsidR="001A2CF6" w:rsidRPr="000875DE" w:rsidTr="001A2C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1A2CF6">
            <w:pPr>
              <w:jc w:val="center"/>
              <w:rPr>
                <w:rFonts w:ascii="Times New Roman" w:hAnsi="Times New Roman" w:cs="Times New Roman"/>
                <w:color w:val="FFFFFF"/>
                <w:sz w:val="20"/>
                <w:szCs w:val="20"/>
              </w:rPr>
            </w:pPr>
            <w:r w:rsidRPr="000875DE">
              <w:rPr>
                <w:rFonts w:ascii="Times New Roman" w:hAnsi="Times New Roman" w:cs="Times New Roman"/>
                <w:b w:val="0"/>
                <w:color w:val="FFFFFF"/>
                <w:sz w:val="20"/>
                <w:szCs w:val="20"/>
              </w:rPr>
              <w:t>Destek Unsurları</w:t>
            </w:r>
          </w:p>
        </w:tc>
        <w:tc>
          <w:tcPr>
            <w:cnfStyle w:val="000010000000" w:firstRow="0" w:lastRow="0" w:firstColumn="0" w:lastColumn="0" w:oddVBand="1" w:evenVBand="0" w:oddHBand="0" w:evenHBand="0" w:firstRowFirstColumn="0" w:firstRowLastColumn="0" w:lastRowFirstColumn="0" w:lastRowLastColumn="0"/>
            <w:tcW w:w="1559" w:type="dxa"/>
            <w:hideMark/>
          </w:tcPr>
          <w:p w:rsidR="001A2CF6" w:rsidRPr="000875DE" w:rsidRDefault="001A2CF6" w:rsidP="001A2CF6">
            <w:pPr>
              <w:jc w:val="center"/>
              <w:rPr>
                <w:rFonts w:ascii="Times New Roman" w:hAnsi="Times New Roman" w:cs="Times New Roman"/>
                <w:color w:val="FFFFFF"/>
                <w:sz w:val="20"/>
                <w:szCs w:val="20"/>
              </w:rPr>
            </w:pPr>
            <w:r w:rsidRPr="000875DE">
              <w:rPr>
                <w:rFonts w:ascii="Times New Roman" w:hAnsi="Times New Roman" w:cs="Times New Roman"/>
                <w:b w:val="0"/>
                <w:bCs w:val="0"/>
                <w:color w:val="FFFFFF"/>
                <w:sz w:val="20"/>
                <w:szCs w:val="20"/>
              </w:rPr>
              <w:t>Genel Teşvik Uygulamaları</w:t>
            </w:r>
          </w:p>
        </w:tc>
        <w:tc>
          <w:tcPr>
            <w:tcW w:w="1559" w:type="dxa"/>
            <w:hideMark/>
          </w:tcPr>
          <w:p w:rsidR="001A2CF6" w:rsidRPr="000875DE" w:rsidRDefault="001A2CF6" w:rsidP="001A2C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sz w:val="20"/>
                <w:szCs w:val="20"/>
              </w:rPr>
            </w:pPr>
            <w:r w:rsidRPr="000875DE">
              <w:rPr>
                <w:rFonts w:ascii="Times New Roman" w:hAnsi="Times New Roman" w:cs="Times New Roman"/>
                <w:b w:val="0"/>
                <w:bCs w:val="0"/>
                <w:color w:val="FFFFFF"/>
                <w:sz w:val="20"/>
                <w:szCs w:val="20"/>
              </w:rPr>
              <w:t>Bölgesel Teşvik Uygulamaları</w:t>
            </w:r>
          </w:p>
        </w:tc>
        <w:tc>
          <w:tcPr>
            <w:cnfStyle w:val="000010000000" w:firstRow="0" w:lastRow="0" w:firstColumn="0" w:lastColumn="0" w:oddVBand="1" w:evenVBand="0" w:oddHBand="0" w:evenHBand="0" w:firstRowFirstColumn="0" w:firstRowLastColumn="0" w:lastRowFirstColumn="0" w:lastRowLastColumn="0"/>
            <w:tcW w:w="1560" w:type="dxa"/>
            <w:hideMark/>
          </w:tcPr>
          <w:p w:rsidR="001A2CF6" w:rsidRPr="000875DE" w:rsidRDefault="001A2CF6" w:rsidP="001A2CF6">
            <w:pPr>
              <w:jc w:val="center"/>
              <w:rPr>
                <w:rFonts w:ascii="Times New Roman" w:hAnsi="Times New Roman" w:cs="Times New Roman"/>
                <w:color w:val="FFFFFF"/>
                <w:sz w:val="20"/>
                <w:szCs w:val="20"/>
              </w:rPr>
            </w:pPr>
            <w:r w:rsidRPr="000875DE">
              <w:rPr>
                <w:rFonts w:ascii="Times New Roman" w:hAnsi="Times New Roman" w:cs="Times New Roman"/>
                <w:b w:val="0"/>
                <w:bCs w:val="0"/>
                <w:color w:val="FFFFFF"/>
                <w:sz w:val="20"/>
                <w:szCs w:val="20"/>
              </w:rPr>
              <w:t>Büyük Ölçekli Yatırımlar</w:t>
            </w:r>
          </w:p>
        </w:tc>
        <w:tc>
          <w:tcPr>
            <w:tcW w:w="1411" w:type="dxa"/>
            <w:hideMark/>
          </w:tcPr>
          <w:p w:rsidR="001A2CF6" w:rsidRPr="000875DE" w:rsidRDefault="001A2CF6" w:rsidP="001A2C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sz w:val="20"/>
                <w:szCs w:val="20"/>
              </w:rPr>
            </w:pPr>
            <w:r w:rsidRPr="000875DE">
              <w:rPr>
                <w:rFonts w:ascii="Times New Roman" w:hAnsi="Times New Roman" w:cs="Times New Roman"/>
                <w:b w:val="0"/>
                <w:bCs w:val="0"/>
                <w:color w:val="FFFFFF"/>
                <w:sz w:val="20"/>
                <w:szCs w:val="20"/>
              </w:rPr>
              <w:t>Stratejik Yatırımlar</w:t>
            </w:r>
          </w:p>
        </w:tc>
      </w:tr>
      <w:tr w:rsidR="001A2CF6" w:rsidRPr="000875DE" w:rsidTr="001A2CF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1A2CF6">
            <w:pPr>
              <w:rPr>
                <w:rFonts w:ascii="Times New Roman" w:hAnsi="Times New Roman" w:cs="Times New Roman"/>
                <w:sz w:val="20"/>
                <w:szCs w:val="20"/>
              </w:rPr>
            </w:pPr>
            <w:r w:rsidRPr="000875DE">
              <w:rPr>
                <w:rFonts w:ascii="Times New Roman" w:hAnsi="Times New Roman" w:cs="Times New Roman"/>
                <w:b w:val="0"/>
                <w:sz w:val="20"/>
                <w:szCs w:val="20"/>
              </w:rPr>
              <w:t>KDV İstisnası</w:t>
            </w:r>
          </w:p>
        </w:tc>
        <w:tc>
          <w:tcPr>
            <w:cnfStyle w:val="000010000000" w:firstRow="0" w:lastRow="0" w:firstColumn="0" w:lastColumn="0" w:oddVBand="1" w:evenVBand="0" w:oddHBand="0" w:evenHBand="0" w:firstRowFirstColumn="0" w:firstRowLastColumn="0" w:lastRowFirstColumn="0" w:lastRowLastColumn="0"/>
            <w:tcW w:w="1559"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559" w:type="dxa"/>
            <w:hideMark/>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1560"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411" w:type="dxa"/>
            <w:hideMark/>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r>
      <w:tr w:rsidR="001A2CF6" w:rsidRPr="000875DE" w:rsidTr="001A2CF6">
        <w:trPr>
          <w:trHeight w:val="261"/>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1A2CF6">
            <w:pPr>
              <w:rPr>
                <w:rFonts w:ascii="Times New Roman" w:hAnsi="Times New Roman" w:cs="Times New Roman"/>
                <w:sz w:val="20"/>
                <w:szCs w:val="20"/>
              </w:rPr>
            </w:pPr>
            <w:r w:rsidRPr="000875DE">
              <w:rPr>
                <w:rFonts w:ascii="Times New Roman" w:hAnsi="Times New Roman" w:cs="Times New Roman"/>
                <w:b w:val="0"/>
                <w:sz w:val="20"/>
                <w:szCs w:val="20"/>
              </w:rPr>
              <w:t>Gümrük Vergisi Muafiyeti</w:t>
            </w:r>
          </w:p>
        </w:tc>
        <w:tc>
          <w:tcPr>
            <w:cnfStyle w:val="000010000000" w:firstRow="0" w:lastRow="0" w:firstColumn="0" w:lastColumn="0" w:oddVBand="1" w:evenVBand="0" w:oddHBand="0" w:evenHBand="0" w:firstRowFirstColumn="0" w:firstRowLastColumn="0" w:lastRowFirstColumn="0" w:lastRowLastColumn="0"/>
            <w:tcW w:w="1559"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559" w:type="dxa"/>
            <w:hideMark/>
          </w:tcPr>
          <w:p w:rsidR="001A2CF6" w:rsidRPr="000875DE" w:rsidRDefault="001A2CF6" w:rsidP="001A2C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1560"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411" w:type="dxa"/>
            <w:hideMark/>
          </w:tcPr>
          <w:p w:rsidR="001A2CF6" w:rsidRPr="000875DE" w:rsidRDefault="001A2CF6" w:rsidP="001A2C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r>
      <w:tr w:rsidR="001A2CF6" w:rsidRPr="000875DE" w:rsidTr="001A2CF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1A2CF6">
            <w:pPr>
              <w:rPr>
                <w:rFonts w:ascii="Times New Roman" w:hAnsi="Times New Roman" w:cs="Times New Roman"/>
                <w:sz w:val="20"/>
                <w:szCs w:val="20"/>
              </w:rPr>
            </w:pPr>
            <w:r w:rsidRPr="000875DE">
              <w:rPr>
                <w:rFonts w:ascii="Times New Roman" w:hAnsi="Times New Roman" w:cs="Times New Roman"/>
                <w:b w:val="0"/>
                <w:sz w:val="20"/>
                <w:szCs w:val="20"/>
              </w:rPr>
              <w:t>Vergi İndirimi</w:t>
            </w:r>
          </w:p>
        </w:tc>
        <w:tc>
          <w:tcPr>
            <w:cnfStyle w:val="000010000000" w:firstRow="0" w:lastRow="0" w:firstColumn="0" w:lastColumn="0" w:oddVBand="1" w:evenVBand="0" w:oddHBand="0" w:evenHBand="0" w:firstRowFirstColumn="0" w:firstRowLastColumn="0" w:lastRowFirstColumn="0" w:lastRowLastColumn="0"/>
            <w:tcW w:w="1559" w:type="dxa"/>
          </w:tcPr>
          <w:p w:rsidR="001A2CF6" w:rsidRPr="000875DE" w:rsidRDefault="001A2CF6" w:rsidP="001A2CF6">
            <w:pPr>
              <w:jc w:val="center"/>
              <w:rPr>
                <w:rFonts w:ascii="Times New Roman" w:hAnsi="Times New Roman" w:cs="Times New Roman"/>
                <w:bCs/>
                <w:sz w:val="20"/>
                <w:szCs w:val="20"/>
              </w:rPr>
            </w:pPr>
          </w:p>
        </w:tc>
        <w:tc>
          <w:tcPr>
            <w:tcW w:w="1559" w:type="dxa"/>
            <w:hideMark/>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1560"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411" w:type="dxa"/>
            <w:hideMark/>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r>
      <w:tr w:rsidR="001A2CF6" w:rsidRPr="000875DE" w:rsidTr="001A2CF6">
        <w:trPr>
          <w:trHeight w:val="266"/>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1A2CF6">
            <w:pPr>
              <w:rPr>
                <w:rFonts w:ascii="Times New Roman" w:hAnsi="Times New Roman" w:cs="Times New Roman"/>
                <w:sz w:val="20"/>
                <w:szCs w:val="20"/>
              </w:rPr>
            </w:pPr>
            <w:r w:rsidRPr="000875DE">
              <w:rPr>
                <w:rFonts w:ascii="Times New Roman" w:hAnsi="Times New Roman" w:cs="Times New Roman"/>
                <w:b w:val="0"/>
                <w:sz w:val="20"/>
                <w:szCs w:val="20"/>
              </w:rPr>
              <w:t>Sigorta Primi İşveren Hissesi Desteği</w:t>
            </w:r>
          </w:p>
        </w:tc>
        <w:tc>
          <w:tcPr>
            <w:cnfStyle w:val="000010000000" w:firstRow="0" w:lastRow="0" w:firstColumn="0" w:lastColumn="0" w:oddVBand="1" w:evenVBand="0" w:oddHBand="0" w:evenHBand="0" w:firstRowFirstColumn="0" w:firstRowLastColumn="0" w:lastRowFirstColumn="0" w:lastRowLastColumn="0"/>
            <w:tcW w:w="1559" w:type="dxa"/>
          </w:tcPr>
          <w:p w:rsidR="001A2CF6" w:rsidRPr="000875DE" w:rsidRDefault="001A2CF6" w:rsidP="001A2CF6">
            <w:pPr>
              <w:jc w:val="center"/>
              <w:rPr>
                <w:rFonts w:ascii="Times New Roman" w:hAnsi="Times New Roman" w:cs="Times New Roman"/>
                <w:bCs/>
                <w:sz w:val="20"/>
                <w:szCs w:val="20"/>
              </w:rPr>
            </w:pPr>
          </w:p>
        </w:tc>
        <w:tc>
          <w:tcPr>
            <w:tcW w:w="1559" w:type="dxa"/>
            <w:hideMark/>
          </w:tcPr>
          <w:p w:rsidR="001A2CF6" w:rsidRPr="000875DE" w:rsidRDefault="001A2CF6" w:rsidP="001A2C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1560"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411" w:type="dxa"/>
            <w:hideMark/>
          </w:tcPr>
          <w:p w:rsidR="001A2CF6" w:rsidRPr="000875DE" w:rsidRDefault="001A2CF6" w:rsidP="001A2C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r>
      <w:tr w:rsidR="001A2CF6" w:rsidRPr="000875DE" w:rsidTr="001A2CF6">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1A2CF6">
            <w:pPr>
              <w:rPr>
                <w:rFonts w:ascii="Times New Roman" w:hAnsi="Times New Roman" w:cs="Times New Roman"/>
                <w:sz w:val="20"/>
                <w:szCs w:val="20"/>
              </w:rPr>
            </w:pPr>
            <w:r w:rsidRPr="000875DE">
              <w:rPr>
                <w:rFonts w:ascii="Times New Roman" w:hAnsi="Times New Roman" w:cs="Times New Roman"/>
                <w:b w:val="0"/>
                <w:sz w:val="20"/>
                <w:szCs w:val="20"/>
              </w:rPr>
              <w:t>Gelir Vergisi Stopajı Desteği</w:t>
            </w:r>
            <w:r w:rsidRPr="000875DE">
              <w:rPr>
                <w:rFonts w:ascii="Times New Roman" w:hAnsi="Times New Roman" w:cs="Times New Roman"/>
                <w:b w:val="0"/>
                <w:color w:val="FF0000"/>
                <w:sz w:val="20"/>
                <w:szCs w:val="20"/>
              </w:rPr>
              <w:t>*</w:t>
            </w:r>
          </w:p>
        </w:tc>
        <w:tc>
          <w:tcPr>
            <w:cnfStyle w:val="000010000000" w:firstRow="0" w:lastRow="0" w:firstColumn="0" w:lastColumn="0" w:oddVBand="1" w:evenVBand="0" w:oddHBand="0" w:evenHBand="0" w:firstRowFirstColumn="0" w:firstRowLastColumn="0" w:lastRowFirstColumn="0" w:lastRowLastColumn="0"/>
            <w:tcW w:w="1559"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559" w:type="dxa"/>
            <w:hideMark/>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1560"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411" w:type="dxa"/>
            <w:hideMark/>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r>
      <w:tr w:rsidR="001A2CF6" w:rsidRPr="000875DE" w:rsidTr="001A2CF6">
        <w:trPr>
          <w:trHeight w:val="286"/>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1A2CF6">
            <w:pPr>
              <w:rPr>
                <w:rFonts w:ascii="Times New Roman" w:hAnsi="Times New Roman" w:cs="Times New Roman"/>
                <w:sz w:val="20"/>
                <w:szCs w:val="20"/>
              </w:rPr>
            </w:pPr>
            <w:r w:rsidRPr="000875DE">
              <w:rPr>
                <w:rFonts w:ascii="Times New Roman" w:hAnsi="Times New Roman" w:cs="Times New Roman"/>
                <w:b w:val="0"/>
                <w:sz w:val="20"/>
                <w:szCs w:val="20"/>
              </w:rPr>
              <w:t>Sigorta Primi Desteği</w:t>
            </w:r>
            <w:r w:rsidRPr="000875DE">
              <w:rPr>
                <w:rFonts w:ascii="Times New Roman" w:hAnsi="Times New Roman" w:cs="Times New Roman"/>
                <w:b w:val="0"/>
                <w:color w:val="FF0000"/>
                <w:sz w:val="20"/>
                <w:szCs w:val="20"/>
              </w:rPr>
              <w:t>*</w:t>
            </w:r>
          </w:p>
        </w:tc>
        <w:tc>
          <w:tcPr>
            <w:cnfStyle w:val="000010000000" w:firstRow="0" w:lastRow="0" w:firstColumn="0" w:lastColumn="0" w:oddVBand="1" w:evenVBand="0" w:oddHBand="0" w:evenHBand="0" w:firstRowFirstColumn="0" w:firstRowLastColumn="0" w:lastRowFirstColumn="0" w:lastRowLastColumn="0"/>
            <w:tcW w:w="1559" w:type="dxa"/>
          </w:tcPr>
          <w:p w:rsidR="001A2CF6" w:rsidRPr="000875DE" w:rsidRDefault="001A2CF6" w:rsidP="001A2CF6">
            <w:pPr>
              <w:jc w:val="center"/>
              <w:rPr>
                <w:rFonts w:ascii="Times New Roman" w:hAnsi="Times New Roman" w:cs="Times New Roman"/>
                <w:bCs/>
                <w:sz w:val="20"/>
                <w:szCs w:val="20"/>
              </w:rPr>
            </w:pPr>
          </w:p>
        </w:tc>
        <w:tc>
          <w:tcPr>
            <w:tcW w:w="1559" w:type="dxa"/>
            <w:hideMark/>
          </w:tcPr>
          <w:p w:rsidR="001A2CF6" w:rsidRPr="000875DE" w:rsidRDefault="001A2CF6" w:rsidP="001A2C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1560"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411" w:type="dxa"/>
            <w:hideMark/>
          </w:tcPr>
          <w:p w:rsidR="001A2CF6" w:rsidRPr="000875DE" w:rsidRDefault="001A2CF6" w:rsidP="001A2C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r>
      <w:tr w:rsidR="001A2CF6" w:rsidRPr="000875DE" w:rsidTr="001A2CF6">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1A2CF6">
            <w:pPr>
              <w:rPr>
                <w:rFonts w:ascii="Times New Roman" w:hAnsi="Times New Roman" w:cs="Times New Roman"/>
                <w:sz w:val="20"/>
                <w:szCs w:val="20"/>
              </w:rPr>
            </w:pPr>
            <w:r w:rsidRPr="000875DE">
              <w:rPr>
                <w:rFonts w:ascii="Times New Roman" w:hAnsi="Times New Roman" w:cs="Times New Roman"/>
                <w:b w:val="0"/>
                <w:sz w:val="20"/>
                <w:szCs w:val="20"/>
              </w:rPr>
              <w:t xml:space="preserve">Faiz Desteği </w:t>
            </w:r>
            <w:r w:rsidRPr="000875DE">
              <w:rPr>
                <w:rFonts w:ascii="Times New Roman" w:hAnsi="Times New Roman" w:cs="Times New Roman"/>
                <w:b w:val="0"/>
                <w:color w:val="FF0000"/>
                <w:sz w:val="20"/>
                <w:szCs w:val="20"/>
              </w:rPr>
              <w:t>**</w:t>
            </w:r>
          </w:p>
        </w:tc>
        <w:tc>
          <w:tcPr>
            <w:cnfStyle w:val="000010000000" w:firstRow="0" w:lastRow="0" w:firstColumn="0" w:lastColumn="0" w:oddVBand="1" w:evenVBand="0" w:oddHBand="0" w:evenHBand="0" w:firstRowFirstColumn="0" w:firstRowLastColumn="0" w:lastRowFirstColumn="0" w:lastRowLastColumn="0"/>
            <w:tcW w:w="1559" w:type="dxa"/>
          </w:tcPr>
          <w:p w:rsidR="001A2CF6" w:rsidRPr="000875DE" w:rsidRDefault="001A2CF6" w:rsidP="001A2CF6">
            <w:pPr>
              <w:jc w:val="center"/>
              <w:rPr>
                <w:rFonts w:ascii="Times New Roman" w:hAnsi="Times New Roman" w:cs="Times New Roman"/>
                <w:bCs/>
                <w:sz w:val="20"/>
                <w:szCs w:val="20"/>
              </w:rPr>
            </w:pPr>
          </w:p>
        </w:tc>
        <w:tc>
          <w:tcPr>
            <w:tcW w:w="1559" w:type="dxa"/>
            <w:hideMark/>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1560" w:type="dxa"/>
          </w:tcPr>
          <w:p w:rsidR="001A2CF6" w:rsidRPr="000875DE" w:rsidRDefault="001A2CF6" w:rsidP="001A2CF6">
            <w:pPr>
              <w:jc w:val="center"/>
              <w:rPr>
                <w:rFonts w:ascii="Times New Roman" w:hAnsi="Times New Roman" w:cs="Times New Roman"/>
                <w:bCs/>
                <w:sz w:val="20"/>
                <w:szCs w:val="20"/>
              </w:rPr>
            </w:pPr>
          </w:p>
        </w:tc>
        <w:tc>
          <w:tcPr>
            <w:tcW w:w="1411" w:type="dxa"/>
            <w:hideMark/>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r>
      <w:tr w:rsidR="001A2CF6" w:rsidRPr="000875DE" w:rsidTr="001A2CF6">
        <w:trPr>
          <w:trHeight w:val="267"/>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1A2CF6">
            <w:pPr>
              <w:rPr>
                <w:rFonts w:ascii="Times New Roman" w:hAnsi="Times New Roman" w:cs="Times New Roman"/>
                <w:sz w:val="20"/>
                <w:szCs w:val="20"/>
              </w:rPr>
            </w:pPr>
            <w:r w:rsidRPr="000875DE">
              <w:rPr>
                <w:rFonts w:ascii="Times New Roman" w:hAnsi="Times New Roman" w:cs="Times New Roman"/>
                <w:b w:val="0"/>
                <w:sz w:val="20"/>
                <w:szCs w:val="20"/>
              </w:rPr>
              <w:t>Yatırım Yeri Tahsisi</w:t>
            </w:r>
          </w:p>
        </w:tc>
        <w:tc>
          <w:tcPr>
            <w:cnfStyle w:val="000010000000" w:firstRow="0" w:lastRow="0" w:firstColumn="0" w:lastColumn="0" w:oddVBand="1" w:evenVBand="0" w:oddHBand="0" w:evenHBand="0" w:firstRowFirstColumn="0" w:firstRowLastColumn="0" w:lastRowFirstColumn="0" w:lastRowLastColumn="0"/>
            <w:tcW w:w="1559" w:type="dxa"/>
          </w:tcPr>
          <w:p w:rsidR="001A2CF6" w:rsidRPr="000875DE" w:rsidRDefault="001A2CF6" w:rsidP="001A2CF6">
            <w:pPr>
              <w:jc w:val="center"/>
              <w:rPr>
                <w:rFonts w:ascii="Times New Roman" w:hAnsi="Times New Roman" w:cs="Times New Roman"/>
                <w:bCs/>
                <w:sz w:val="20"/>
                <w:szCs w:val="20"/>
              </w:rPr>
            </w:pPr>
          </w:p>
        </w:tc>
        <w:tc>
          <w:tcPr>
            <w:tcW w:w="1559" w:type="dxa"/>
            <w:hideMark/>
          </w:tcPr>
          <w:p w:rsidR="001A2CF6" w:rsidRPr="000875DE" w:rsidRDefault="001A2CF6" w:rsidP="001A2C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1560" w:type="dxa"/>
            <w:hideMark/>
          </w:tcPr>
          <w:p w:rsidR="001A2CF6" w:rsidRPr="000875DE" w:rsidRDefault="001A2CF6" w:rsidP="001A2CF6">
            <w:pPr>
              <w:jc w:val="center"/>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c>
          <w:tcPr>
            <w:tcW w:w="1411" w:type="dxa"/>
            <w:hideMark/>
          </w:tcPr>
          <w:p w:rsidR="001A2CF6" w:rsidRPr="000875DE" w:rsidRDefault="001A2CF6" w:rsidP="001A2C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r>
      <w:tr w:rsidR="001A2CF6" w:rsidRPr="000875DE" w:rsidTr="001A2CF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227" w:type="dxa"/>
            <w:hideMark/>
          </w:tcPr>
          <w:p w:rsidR="001A2CF6" w:rsidRPr="000875DE" w:rsidRDefault="001A2CF6" w:rsidP="007A5F1B">
            <w:pPr>
              <w:rPr>
                <w:rFonts w:ascii="Times New Roman" w:hAnsi="Times New Roman" w:cs="Times New Roman"/>
                <w:sz w:val="20"/>
                <w:szCs w:val="20"/>
              </w:rPr>
            </w:pPr>
            <w:r w:rsidRPr="000875DE">
              <w:rPr>
                <w:rFonts w:ascii="Times New Roman" w:hAnsi="Times New Roman" w:cs="Times New Roman"/>
                <w:b w:val="0"/>
                <w:sz w:val="20"/>
                <w:szCs w:val="20"/>
              </w:rPr>
              <w:t>KDV İadesi</w:t>
            </w:r>
          </w:p>
        </w:tc>
        <w:tc>
          <w:tcPr>
            <w:cnfStyle w:val="000010000000" w:firstRow="0" w:lastRow="0" w:firstColumn="0" w:lastColumn="0" w:oddVBand="1" w:evenVBand="0" w:oddHBand="0" w:evenHBand="0" w:firstRowFirstColumn="0" w:firstRowLastColumn="0" w:lastRowFirstColumn="0" w:lastRowLastColumn="0"/>
            <w:tcW w:w="1559" w:type="dxa"/>
          </w:tcPr>
          <w:p w:rsidR="001A2CF6" w:rsidRPr="000875DE" w:rsidRDefault="001A2CF6" w:rsidP="001A2CF6">
            <w:pPr>
              <w:jc w:val="center"/>
              <w:rPr>
                <w:rFonts w:ascii="Times New Roman" w:hAnsi="Times New Roman" w:cs="Times New Roman"/>
                <w:bCs/>
                <w:sz w:val="20"/>
                <w:szCs w:val="20"/>
              </w:rPr>
            </w:pPr>
          </w:p>
        </w:tc>
        <w:tc>
          <w:tcPr>
            <w:tcW w:w="1559" w:type="dxa"/>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cnfStyle w:val="000010000000" w:firstRow="0" w:lastRow="0" w:firstColumn="0" w:lastColumn="0" w:oddVBand="1" w:evenVBand="0" w:oddHBand="0" w:evenHBand="0" w:firstRowFirstColumn="0" w:firstRowLastColumn="0" w:lastRowFirstColumn="0" w:lastRowLastColumn="0"/>
            <w:tcW w:w="1560" w:type="dxa"/>
          </w:tcPr>
          <w:p w:rsidR="001A2CF6" w:rsidRPr="000875DE" w:rsidRDefault="001A2CF6" w:rsidP="001A2CF6">
            <w:pPr>
              <w:jc w:val="center"/>
              <w:rPr>
                <w:rFonts w:ascii="Times New Roman" w:hAnsi="Times New Roman" w:cs="Times New Roman"/>
                <w:bCs/>
                <w:sz w:val="20"/>
                <w:szCs w:val="20"/>
              </w:rPr>
            </w:pPr>
          </w:p>
        </w:tc>
        <w:tc>
          <w:tcPr>
            <w:tcW w:w="1411" w:type="dxa"/>
            <w:hideMark/>
          </w:tcPr>
          <w:p w:rsidR="001A2CF6" w:rsidRPr="000875DE" w:rsidRDefault="001A2CF6" w:rsidP="001A2C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875DE">
              <w:rPr>
                <w:rFonts w:ascii="Times New Roman" w:hAnsi="Times New Roman" w:cs="Times New Roman"/>
                <w:bCs/>
                <w:sz w:val="20"/>
                <w:szCs w:val="20"/>
              </w:rPr>
              <w:sym w:font="Wingdings" w:char="F0FC"/>
            </w:r>
          </w:p>
        </w:tc>
      </w:tr>
    </w:tbl>
    <w:p w:rsidR="001A2CF6" w:rsidRPr="000875DE" w:rsidRDefault="001A2CF6" w:rsidP="001A2CF6">
      <w:pPr>
        <w:spacing w:after="0"/>
        <w:jc w:val="both"/>
        <w:rPr>
          <w:rFonts w:ascii="Times New Roman" w:hAnsi="Times New Roman" w:cs="Times New Roman"/>
          <w:color w:val="000000"/>
          <w:sz w:val="24"/>
          <w:szCs w:val="24"/>
        </w:rPr>
      </w:pPr>
      <w:r w:rsidRPr="000875DE">
        <w:rPr>
          <w:rFonts w:ascii="Times New Roman" w:hAnsi="Times New Roman" w:cs="Times New Roman"/>
          <w:color w:val="FF0000"/>
          <w:sz w:val="24"/>
          <w:szCs w:val="24"/>
        </w:rPr>
        <w:t>*</w:t>
      </w:r>
      <w:r w:rsidRPr="000875DE">
        <w:rPr>
          <w:rFonts w:ascii="Times New Roman" w:hAnsi="Times New Roman" w:cs="Times New Roman"/>
          <w:color w:val="000000"/>
          <w:sz w:val="24"/>
          <w:szCs w:val="24"/>
        </w:rPr>
        <w:t xml:space="preserve"> Yatırımın 6. bölgede gerçekleştirilmesi halinde sağlanır</w:t>
      </w:r>
    </w:p>
    <w:p w:rsidR="001A2CF6" w:rsidRPr="000875DE" w:rsidRDefault="001A2CF6" w:rsidP="007A5F1B">
      <w:pPr>
        <w:spacing w:after="0"/>
        <w:jc w:val="both"/>
        <w:rPr>
          <w:rFonts w:ascii="Times New Roman" w:hAnsi="Times New Roman" w:cs="Times New Roman"/>
          <w:color w:val="000000"/>
          <w:sz w:val="24"/>
          <w:szCs w:val="24"/>
        </w:rPr>
      </w:pPr>
      <w:r w:rsidRPr="000875DE">
        <w:rPr>
          <w:rFonts w:ascii="Times New Roman" w:hAnsi="Times New Roman" w:cs="Times New Roman"/>
          <w:color w:val="FF0000"/>
          <w:sz w:val="24"/>
          <w:szCs w:val="24"/>
        </w:rPr>
        <w:t>**</w:t>
      </w:r>
      <w:r w:rsidRPr="000875DE">
        <w:rPr>
          <w:rFonts w:ascii="Times New Roman" w:hAnsi="Times New Roman" w:cs="Times New Roman"/>
          <w:color w:val="000000"/>
          <w:sz w:val="24"/>
          <w:szCs w:val="24"/>
        </w:rPr>
        <w:t xml:space="preserve"> Bölgesel teşvik uygulamalarında, yatırımın 3, 4, 5 veya 6. bölgelerde gerçekleştirilmesi halinde sağlanır.</w:t>
      </w:r>
    </w:p>
    <w:p w:rsidR="007A5F1B" w:rsidRPr="000875DE" w:rsidRDefault="007A5F1B" w:rsidP="007A5F1B">
      <w:pPr>
        <w:spacing w:after="0"/>
        <w:jc w:val="both"/>
        <w:rPr>
          <w:rFonts w:ascii="Times New Roman" w:hAnsi="Times New Roman" w:cs="Times New Roman"/>
          <w:color w:val="000000"/>
          <w:sz w:val="24"/>
          <w:szCs w:val="24"/>
        </w:rPr>
      </w:pPr>
    </w:p>
    <w:p w:rsidR="001A2CF6" w:rsidRPr="000875DE" w:rsidRDefault="001A2CF6" w:rsidP="001A2CF6">
      <w:pPr>
        <w:pStyle w:val="ListParagraph"/>
        <w:numPr>
          <w:ilvl w:val="0"/>
          <w:numId w:val="8"/>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Asgari sabit yatırım tutarı, uygulamalara göre aşağıdaki gibi belirlenmiştir.</w:t>
      </w:r>
    </w:p>
    <w:p w:rsidR="001715D1" w:rsidRDefault="001715D1" w:rsidP="001715D1">
      <w:pPr>
        <w:pStyle w:val="ListParagraph"/>
        <w:ind w:left="1080"/>
        <w:rPr>
          <w:rFonts w:ascii="Times New Roman" w:hAnsi="Times New Roman" w:cs="Times New Roman"/>
          <w:color w:val="000000"/>
          <w:sz w:val="24"/>
          <w:szCs w:val="24"/>
        </w:rPr>
      </w:pPr>
    </w:p>
    <w:p w:rsidR="001A2CF6" w:rsidRPr="000875DE" w:rsidRDefault="001A2CF6" w:rsidP="001A2CF6">
      <w:pPr>
        <w:pStyle w:val="ListParagraph"/>
        <w:numPr>
          <w:ilvl w:val="1"/>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Genel Teşvik Uygulamaları:</w:t>
      </w:r>
    </w:p>
    <w:p w:rsidR="001A2CF6" w:rsidRPr="000875DE" w:rsidRDefault="001A2CF6" w:rsidP="001A2CF6">
      <w:pPr>
        <w:pStyle w:val="ListParagraph"/>
        <w:numPr>
          <w:ilvl w:val="2"/>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Bölge 1 ve 2: 1.000.000 TL</w:t>
      </w:r>
    </w:p>
    <w:p w:rsidR="001A2CF6" w:rsidRPr="000875DE" w:rsidRDefault="001A2CF6" w:rsidP="001A2CF6">
      <w:pPr>
        <w:pStyle w:val="ListParagraph"/>
        <w:numPr>
          <w:ilvl w:val="2"/>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Diğer bölgeler: 500.000 TL</w:t>
      </w:r>
    </w:p>
    <w:p w:rsidR="001715D1" w:rsidRDefault="001715D1" w:rsidP="001715D1">
      <w:pPr>
        <w:pStyle w:val="ListParagraph"/>
        <w:ind w:left="1080"/>
        <w:rPr>
          <w:rFonts w:ascii="Times New Roman" w:hAnsi="Times New Roman" w:cs="Times New Roman"/>
          <w:color w:val="000000"/>
          <w:sz w:val="24"/>
          <w:szCs w:val="24"/>
        </w:rPr>
      </w:pPr>
    </w:p>
    <w:p w:rsidR="001A2CF6" w:rsidRPr="000875DE" w:rsidRDefault="001A2CF6" w:rsidP="001A2CF6">
      <w:pPr>
        <w:pStyle w:val="ListParagraph"/>
        <w:numPr>
          <w:ilvl w:val="1"/>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Bölgesel Teşvik Uygulamaları:</w:t>
      </w:r>
    </w:p>
    <w:p w:rsidR="008A5BFD" w:rsidRPr="000875DE" w:rsidRDefault="008A5BFD" w:rsidP="008A5BFD">
      <w:pPr>
        <w:pStyle w:val="ListParagraph"/>
        <w:numPr>
          <w:ilvl w:val="2"/>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Bölge 1 ve 2: 1.000.000 TL</w:t>
      </w:r>
    </w:p>
    <w:p w:rsidR="008A5BFD" w:rsidRPr="000875DE" w:rsidRDefault="008A5BFD" w:rsidP="008A5BFD">
      <w:pPr>
        <w:pStyle w:val="ListParagraph"/>
        <w:numPr>
          <w:ilvl w:val="2"/>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Diğer bölgeler: 500.000 TL</w:t>
      </w:r>
    </w:p>
    <w:p w:rsidR="008A5BFD" w:rsidRPr="000875DE" w:rsidRDefault="007E40F0" w:rsidP="001A2CF6">
      <w:pPr>
        <w:pStyle w:val="ListParagraph"/>
        <w:numPr>
          <w:ilvl w:val="2"/>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Asgari tutarlar sektörler ve iller için ayrı ayrı düzenlenmiştir</w:t>
      </w:r>
    </w:p>
    <w:p w:rsidR="001715D1" w:rsidRDefault="001715D1" w:rsidP="001715D1">
      <w:pPr>
        <w:pStyle w:val="ListParagraph"/>
        <w:ind w:left="1080"/>
        <w:rPr>
          <w:rFonts w:ascii="Times New Roman" w:hAnsi="Times New Roman" w:cs="Times New Roman"/>
          <w:color w:val="000000"/>
          <w:sz w:val="24"/>
          <w:szCs w:val="24"/>
        </w:rPr>
      </w:pPr>
    </w:p>
    <w:p w:rsidR="007E40F0" w:rsidRPr="000875DE" w:rsidRDefault="007E40F0" w:rsidP="007E40F0">
      <w:pPr>
        <w:pStyle w:val="ListParagraph"/>
        <w:numPr>
          <w:ilvl w:val="1"/>
          <w:numId w:val="6"/>
        </w:numPr>
        <w:rPr>
          <w:rFonts w:ascii="Times New Roman" w:hAnsi="Times New Roman" w:cs="Times New Roman"/>
          <w:color w:val="000000"/>
          <w:sz w:val="24"/>
          <w:szCs w:val="24"/>
        </w:rPr>
      </w:pPr>
      <w:r w:rsidRPr="000875DE">
        <w:rPr>
          <w:rFonts w:ascii="Times New Roman" w:hAnsi="Times New Roman" w:cs="Times New Roman"/>
          <w:color w:val="000000"/>
          <w:sz w:val="24"/>
          <w:szCs w:val="24"/>
        </w:rPr>
        <w:t>Büyük ve stratejik yatırımlarda: 50.000.000 TL</w:t>
      </w:r>
    </w:p>
    <w:p w:rsidR="001715D1" w:rsidRPr="001715D1" w:rsidRDefault="001715D1" w:rsidP="001715D1">
      <w:pPr>
        <w:pStyle w:val="ListParagraph"/>
        <w:ind w:left="360"/>
        <w:rPr>
          <w:rFonts w:ascii="Times New Roman" w:hAnsi="Times New Roman" w:cs="Times New Roman"/>
          <w:color w:val="000000"/>
          <w:sz w:val="24"/>
          <w:szCs w:val="24"/>
        </w:rPr>
      </w:pPr>
    </w:p>
    <w:p w:rsidR="007A5F1B" w:rsidRPr="000875DE" w:rsidRDefault="007A5F1B" w:rsidP="007A5F1B">
      <w:pPr>
        <w:pStyle w:val="ListParagraph"/>
        <w:numPr>
          <w:ilvl w:val="0"/>
          <w:numId w:val="8"/>
        </w:numPr>
        <w:rPr>
          <w:rFonts w:ascii="Times New Roman" w:hAnsi="Times New Roman" w:cs="Times New Roman"/>
          <w:color w:val="000000"/>
          <w:sz w:val="24"/>
          <w:szCs w:val="24"/>
        </w:rPr>
      </w:pPr>
      <w:r w:rsidRPr="000875DE">
        <w:rPr>
          <w:rFonts w:ascii="Times New Roman" w:hAnsi="Times New Roman" w:cs="Times New Roman"/>
          <w:b/>
          <w:color w:val="000000"/>
          <w:sz w:val="24"/>
          <w:szCs w:val="24"/>
        </w:rPr>
        <w:t>KDV İadesi:</w:t>
      </w:r>
      <w:r w:rsidRPr="000875DE">
        <w:rPr>
          <w:rFonts w:ascii="Times New Roman" w:hAnsi="Times New Roman" w:cs="Times New Roman"/>
        </w:rPr>
        <w:t xml:space="preserve"> </w:t>
      </w:r>
      <w:r w:rsidRPr="000875DE">
        <w:rPr>
          <w:rFonts w:ascii="Times New Roman" w:hAnsi="Times New Roman" w:cs="Times New Roman"/>
          <w:color w:val="000000"/>
          <w:sz w:val="24"/>
          <w:szCs w:val="24"/>
        </w:rPr>
        <w:t xml:space="preserve">Sabit yatırım tutarı 500 Milyon TL üzerinde olan stratejik yatırımlara sağlanmak üzere yeni düzenlenmiştir. </w:t>
      </w:r>
    </w:p>
    <w:p w:rsidR="00567821" w:rsidRPr="000875DE" w:rsidRDefault="00567821" w:rsidP="00567821">
      <w:pPr>
        <w:rPr>
          <w:rFonts w:ascii="Times New Roman" w:hAnsi="Times New Roman" w:cs="Times New Roman"/>
          <w:color w:val="000000"/>
          <w:sz w:val="24"/>
          <w:szCs w:val="24"/>
        </w:rPr>
      </w:pPr>
      <w:r w:rsidRPr="000875DE">
        <w:rPr>
          <w:rFonts w:ascii="Times New Roman" w:hAnsi="Times New Roman" w:cs="Times New Roman"/>
          <w:color w:val="000000"/>
          <w:sz w:val="24"/>
          <w:szCs w:val="24"/>
        </w:rPr>
        <w:t>14</w:t>
      </w:r>
      <w:r w:rsidR="000875DE" w:rsidRPr="000875DE">
        <w:rPr>
          <w:rFonts w:ascii="Times New Roman" w:hAnsi="Times New Roman" w:cs="Times New Roman"/>
          <w:color w:val="000000"/>
          <w:sz w:val="24"/>
          <w:szCs w:val="24"/>
        </w:rPr>
        <w:t>.</w:t>
      </w:r>
      <w:r w:rsidRPr="000875DE">
        <w:rPr>
          <w:rFonts w:ascii="Times New Roman" w:hAnsi="Times New Roman" w:cs="Times New Roman"/>
          <w:color w:val="000000"/>
          <w:sz w:val="24"/>
          <w:szCs w:val="24"/>
        </w:rPr>
        <w:t>7</w:t>
      </w:r>
      <w:r w:rsidR="000875DE" w:rsidRPr="000875DE">
        <w:rPr>
          <w:rFonts w:ascii="Times New Roman" w:hAnsi="Times New Roman" w:cs="Times New Roman"/>
          <w:color w:val="000000"/>
          <w:sz w:val="24"/>
          <w:szCs w:val="24"/>
        </w:rPr>
        <w:t>.</w:t>
      </w:r>
      <w:r w:rsidRPr="000875DE">
        <w:rPr>
          <w:rFonts w:ascii="Times New Roman" w:hAnsi="Times New Roman" w:cs="Times New Roman"/>
          <w:color w:val="000000"/>
          <w:sz w:val="24"/>
          <w:szCs w:val="24"/>
        </w:rPr>
        <w:t>2009 tarihli ve 2009/15199 sayılı Bakanlar Kurulu Kararı ile yürürlüğe konulan Yatırımlarda Devlet Yardımları Hakkında Karar ile Yatırımlarda Devlet Yardımları Hakkında Kararın Uygulanmasına İlişkin Tebliğ (Tebliğ No: 2009/1) yürürlükten kaldırılmıştır</w:t>
      </w:r>
      <w:r w:rsidR="000875DE" w:rsidRPr="000875DE">
        <w:rPr>
          <w:rFonts w:ascii="Times New Roman" w:hAnsi="Times New Roman" w:cs="Times New Roman"/>
          <w:color w:val="000000"/>
          <w:sz w:val="24"/>
          <w:szCs w:val="24"/>
        </w:rPr>
        <w:t>.</w:t>
      </w:r>
    </w:p>
    <w:p w:rsidR="00567821" w:rsidRPr="000875DE" w:rsidRDefault="00567821" w:rsidP="00567821">
      <w:pPr>
        <w:rPr>
          <w:rFonts w:ascii="Times New Roman" w:hAnsi="Times New Roman" w:cs="Times New Roman"/>
          <w:color w:val="000000"/>
          <w:sz w:val="24"/>
          <w:szCs w:val="24"/>
        </w:rPr>
      </w:pPr>
      <w:r w:rsidRPr="000875DE">
        <w:rPr>
          <w:rFonts w:ascii="Times New Roman" w:hAnsi="Times New Roman" w:cs="Times New Roman"/>
          <w:color w:val="000000"/>
          <w:sz w:val="24"/>
          <w:szCs w:val="24"/>
        </w:rPr>
        <w:t>Kararın yürürlüğe girdiği tarihten önceki kararlara istinaden düzenlenen teşvik belgeleri ile ilgili uygulamalara, teşvik belgesinin dayandığı karar ve ilgili diğer kararlar çerçevesinde devam olunur. Ancak, 2009/15199 sayılı Bakanlar Kurulu Kararına istinaden 1</w:t>
      </w:r>
      <w:r w:rsidR="000875DE" w:rsidRPr="000875DE">
        <w:rPr>
          <w:rFonts w:ascii="Times New Roman" w:hAnsi="Times New Roman" w:cs="Times New Roman"/>
          <w:color w:val="000000"/>
          <w:sz w:val="24"/>
          <w:szCs w:val="24"/>
        </w:rPr>
        <w:t>.1.</w:t>
      </w:r>
      <w:r w:rsidRPr="000875DE">
        <w:rPr>
          <w:rFonts w:ascii="Times New Roman" w:hAnsi="Times New Roman" w:cs="Times New Roman"/>
          <w:color w:val="000000"/>
          <w:sz w:val="24"/>
          <w:szCs w:val="24"/>
        </w:rPr>
        <w:t xml:space="preserve">2012 tarihinden bu Kararın yayımı tarihine kadar geçen dönemde yapılan müracaatlara istinaden </w:t>
      </w:r>
      <w:r w:rsidRPr="000875DE">
        <w:rPr>
          <w:rFonts w:ascii="Times New Roman" w:hAnsi="Times New Roman" w:cs="Times New Roman"/>
          <w:color w:val="000000"/>
          <w:sz w:val="24"/>
          <w:szCs w:val="24"/>
        </w:rPr>
        <w:lastRenderedPageBreak/>
        <w:t xml:space="preserve">düzenlenen teşvik belgeleri, talep edilmesi halinde bu Kararın lehte olan hükümlerinden yararlanır. </w:t>
      </w:r>
    </w:p>
    <w:p w:rsidR="00537C03" w:rsidRDefault="00304985" w:rsidP="001A2CF6">
      <w:pPr>
        <w:rPr>
          <w:rFonts w:ascii="Times New Roman" w:hAnsi="Times New Roman" w:cs="Times New Roman"/>
          <w:color w:val="000000"/>
          <w:sz w:val="24"/>
          <w:szCs w:val="24"/>
        </w:rPr>
      </w:pPr>
      <w:r w:rsidRPr="000875DE">
        <w:rPr>
          <w:rFonts w:ascii="Times New Roman" w:hAnsi="Times New Roman" w:cs="Times New Roman"/>
          <w:color w:val="000000"/>
          <w:sz w:val="24"/>
          <w:szCs w:val="24"/>
        </w:rPr>
        <w:t>Yukarıdaki açıklamalarımız genel</w:t>
      </w:r>
      <w:r w:rsidR="00DB2862">
        <w:rPr>
          <w:rFonts w:ascii="Times New Roman" w:hAnsi="Times New Roman" w:cs="Times New Roman"/>
          <w:color w:val="000000"/>
          <w:sz w:val="24"/>
          <w:szCs w:val="24"/>
        </w:rPr>
        <w:t xml:space="preserve"> düzeyde yapılmış</w:t>
      </w:r>
      <w:r w:rsidRPr="000875DE">
        <w:rPr>
          <w:rFonts w:ascii="Times New Roman" w:hAnsi="Times New Roman" w:cs="Times New Roman"/>
          <w:color w:val="000000"/>
          <w:sz w:val="24"/>
          <w:szCs w:val="24"/>
        </w:rPr>
        <w:t xml:space="preserve"> olup detay bilgiye ihtiyacınız olduğu takdirde tarafımızla iletişime geçebilirsiniz. </w:t>
      </w:r>
    </w:p>
    <w:p w:rsidR="00A8305E" w:rsidRPr="001715D1" w:rsidRDefault="00A8305E" w:rsidP="00A8305E">
      <w:pPr>
        <w:pStyle w:val="Heading1"/>
        <w:rPr>
          <w:rFonts w:ascii="Times New Roman" w:hAnsi="Times New Roman" w:cs="Times New Roman"/>
          <w:lang w:val="tr-TR"/>
        </w:rPr>
      </w:pPr>
      <w:r w:rsidRPr="001715D1">
        <w:rPr>
          <w:rFonts w:ascii="Times New Roman" w:hAnsi="Times New Roman" w:cs="Times New Roman"/>
          <w:lang w:val="tr-TR"/>
        </w:rPr>
        <w:t>Alacak ve Borç Senetleri Reeskont Oranında Değişiklik</w:t>
      </w:r>
    </w:p>
    <w:p w:rsidR="00A8305E" w:rsidRPr="001715D1" w:rsidRDefault="00A8305E" w:rsidP="00A8305E">
      <w:pPr>
        <w:pStyle w:val="ListParagraph"/>
        <w:ind w:left="360"/>
        <w:rPr>
          <w:rFonts w:ascii="Times New Roman" w:hAnsi="Times New Roman" w:cs="Times New Roman"/>
          <w:lang w:eastAsia="ja-JP"/>
        </w:rPr>
      </w:pPr>
    </w:p>
    <w:p w:rsidR="00A8305E" w:rsidRPr="00A8305E" w:rsidRDefault="00A8305E" w:rsidP="00A8305E">
      <w:pPr>
        <w:rPr>
          <w:rFonts w:ascii="Times New Roman" w:hAnsi="Times New Roman" w:cs="Times New Roman"/>
          <w:lang w:eastAsia="ja-JP"/>
        </w:rPr>
      </w:pPr>
      <w:r w:rsidRPr="00A8305E">
        <w:rPr>
          <w:rFonts w:ascii="Times New Roman" w:hAnsi="Times New Roman" w:cs="Times New Roman"/>
          <w:lang w:eastAsia="ja-JP"/>
        </w:rPr>
        <w:t xml:space="preserve">19 Haziran 2012 tarihli ve 28328 sayılı Resmi </w:t>
      </w:r>
      <w:proofErr w:type="spellStart"/>
      <w:r w:rsidRPr="00A8305E">
        <w:rPr>
          <w:rFonts w:ascii="Times New Roman" w:hAnsi="Times New Roman" w:cs="Times New Roman"/>
          <w:lang w:eastAsia="ja-JP"/>
        </w:rPr>
        <w:t>Gazete'de</w:t>
      </w:r>
      <w:proofErr w:type="spellEnd"/>
      <w:r w:rsidRPr="00A8305E">
        <w:rPr>
          <w:rFonts w:ascii="Times New Roman" w:hAnsi="Times New Roman" w:cs="Times New Roman"/>
          <w:lang w:eastAsia="ja-JP"/>
        </w:rPr>
        <w:t xml:space="preserve"> yayımlanan Türkiye Cumhuriyet Merkez Bankası tebliğine göre 19 Haziran 2011 tarihinde yürürlüğe girmek üzere vadesine en çok 3 ay kalan senetler karşılığında yapılacak </w:t>
      </w:r>
      <w:proofErr w:type="gramStart"/>
      <w:r w:rsidRPr="00A8305E">
        <w:rPr>
          <w:rFonts w:ascii="Times New Roman" w:hAnsi="Times New Roman" w:cs="Times New Roman"/>
          <w:lang w:eastAsia="ja-JP"/>
        </w:rPr>
        <w:t>reeskont</w:t>
      </w:r>
      <w:proofErr w:type="gramEnd"/>
      <w:r w:rsidRPr="00A8305E">
        <w:rPr>
          <w:rFonts w:ascii="Times New Roman" w:hAnsi="Times New Roman" w:cs="Times New Roman"/>
          <w:lang w:eastAsia="ja-JP"/>
        </w:rPr>
        <w:t xml:space="preserve"> işlemlerinde uygulanacak </w:t>
      </w:r>
      <w:proofErr w:type="spellStart"/>
      <w:r w:rsidRPr="00A8305E">
        <w:rPr>
          <w:rFonts w:ascii="Times New Roman" w:hAnsi="Times New Roman" w:cs="Times New Roman"/>
          <w:lang w:eastAsia="ja-JP"/>
        </w:rPr>
        <w:t>iskonto</w:t>
      </w:r>
      <w:proofErr w:type="spellEnd"/>
      <w:r w:rsidRPr="00A8305E">
        <w:rPr>
          <w:rFonts w:ascii="Times New Roman" w:hAnsi="Times New Roman" w:cs="Times New Roman"/>
          <w:lang w:eastAsia="ja-JP"/>
        </w:rPr>
        <w:t xml:space="preserve"> faiz oranı yıllık %16, avans işlemlerinde uygulanacak faiz oranı ise yıllık %16,50 olarak tespit edilmiştir.</w:t>
      </w:r>
    </w:p>
    <w:p w:rsidR="000875DE" w:rsidRPr="000875DE" w:rsidRDefault="000875DE" w:rsidP="000875DE">
      <w:pPr>
        <w:pStyle w:val="Heading1"/>
        <w:rPr>
          <w:rFonts w:ascii="Times New Roman" w:hAnsi="Times New Roman" w:cs="Times New Roman"/>
          <w:lang w:val="tr-TR"/>
        </w:rPr>
      </w:pPr>
      <w:r w:rsidRPr="000875DE">
        <w:rPr>
          <w:rFonts w:ascii="Times New Roman" w:hAnsi="Times New Roman" w:cs="Times New Roman"/>
          <w:lang w:val="tr-TR"/>
        </w:rPr>
        <w:t>Katma Değer Vergisi 119 Sayılı Tebliğ – İndirimli Orana Tabi İşlemler Kapsamında Yapılacak İadeler</w:t>
      </w:r>
    </w:p>
    <w:p w:rsidR="000875DE" w:rsidRPr="000875DE" w:rsidRDefault="000875DE" w:rsidP="000875DE">
      <w:pPr>
        <w:rPr>
          <w:rFonts w:ascii="Times New Roman" w:hAnsi="Times New Roman" w:cs="Times New Roman"/>
          <w:lang w:eastAsia="ja-JP"/>
        </w:rPr>
      </w:pPr>
    </w:p>
    <w:p w:rsidR="000875DE" w:rsidRDefault="000875DE" w:rsidP="000875DE">
      <w:pPr>
        <w:rPr>
          <w:rFonts w:ascii="Times New Roman" w:hAnsi="Times New Roman" w:cs="Times New Roman"/>
          <w:lang w:eastAsia="ja-JP"/>
        </w:rPr>
      </w:pPr>
      <w:proofErr w:type="gramStart"/>
      <w:r w:rsidRPr="000875DE">
        <w:rPr>
          <w:rFonts w:ascii="Times New Roman" w:hAnsi="Times New Roman" w:cs="Times New Roman"/>
          <w:lang w:eastAsia="ja-JP"/>
        </w:rPr>
        <w:t xml:space="preserve">23.06.2012 tarihli ve 28332 sayılı Resmi </w:t>
      </w:r>
      <w:proofErr w:type="spellStart"/>
      <w:r w:rsidRPr="000875DE">
        <w:rPr>
          <w:rFonts w:ascii="Times New Roman" w:hAnsi="Times New Roman" w:cs="Times New Roman"/>
          <w:lang w:eastAsia="ja-JP"/>
        </w:rPr>
        <w:t>Gazete</w:t>
      </w:r>
      <w:r>
        <w:rPr>
          <w:rFonts w:ascii="Times New Roman" w:hAnsi="Times New Roman" w:cs="Times New Roman"/>
          <w:lang w:eastAsia="ja-JP"/>
        </w:rPr>
        <w:t>’de</w:t>
      </w:r>
      <w:proofErr w:type="spellEnd"/>
      <w:r>
        <w:rPr>
          <w:rFonts w:ascii="Times New Roman" w:hAnsi="Times New Roman" w:cs="Times New Roman"/>
          <w:lang w:eastAsia="ja-JP"/>
        </w:rPr>
        <w:t xml:space="preserve"> yayımlanan </w:t>
      </w:r>
      <w:r w:rsidRPr="000875DE">
        <w:rPr>
          <w:rFonts w:ascii="Times New Roman" w:hAnsi="Times New Roman" w:cs="Times New Roman"/>
          <w:i/>
          <w:lang w:eastAsia="ja-JP"/>
        </w:rPr>
        <w:t xml:space="preserve">119 Seri </w:t>
      </w:r>
      <w:proofErr w:type="spellStart"/>
      <w:r w:rsidRPr="000875DE">
        <w:rPr>
          <w:rFonts w:ascii="Times New Roman" w:hAnsi="Times New Roman" w:cs="Times New Roman"/>
          <w:i/>
          <w:lang w:eastAsia="ja-JP"/>
        </w:rPr>
        <w:t>No’lu</w:t>
      </w:r>
      <w:proofErr w:type="spellEnd"/>
      <w:r w:rsidRPr="000875DE">
        <w:rPr>
          <w:rFonts w:ascii="Times New Roman" w:hAnsi="Times New Roman" w:cs="Times New Roman"/>
          <w:i/>
          <w:lang w:eastAsia="ja-JP"/>
        </w:rPr>
        <w:t xml:space="preserve"> Katma Değer Vergisi Genel Tebliği</w:t>
      </w:r>
      <w:r>
        <w:rPr>
          <w:rFonts w:ascii="Times New Roman" w:hAnsi="Times New Roman" w:cs="Times New Roman"/>
          <w:lang w:eastAsia="ja-JP"/>
        </w:rPr>
        <w:t>’</w:t>
      </w:r>
      <w:r w:rsidRPr="000875DE">
        <w:rPr>
          <w:rFonts w:ascii="Times New Roman" w:hAnsi="Times New Roman" w:cs="Times New Roman"/>
          <w:lang w:eastAsia="ja-JP"/>
        </w:rPr>
        <w:t>nde</w:t>
      </w:r>
      <w:r>
        <w:rPr>
          <w:rFonts w:ascii="Times New Roman" w:hAnsi="Times New Roman" w:cs="Times New Roman"/>
          <w:lang w:eastAsia="ja-JP"/>
        </w:rPr>
        <w:t xml:space="preserve"> indirimli orana (%1 ve %8) tabi işlemler kapsamında yapılacak iadelere ilişkin usul ve esaslar belirlenmiş olup </w:t>
      </w:r>
      <w:r w:rsidR="003B2991">
        <w:rPr>
          <w:rFonts w:ascii="Times New Roman" w:hAnsi="Times New Roman" w:cs="Times New Roman"/>
          <w:lang w:eastAsia="ja-JP"/>
        </w:rPr>
        <w:t xml:space="preserve">iade uygulaması ile ilgili diğer tebliğlerde (64, 74, 76, 85, 99, 101, 105 ve 106 </w:t>
      </w:r>
      <w:proofErr w:type="spellStart"/>
      <w:r w:rsidR="003B2991">
        <w:rPr>
          <w:rFonts w:ascii="Times New Roman" w:hAnsi="Times New Roman" w:cs="Times New Roman"/>
          <w:lang w:eastAsia="ja-JP"/>
        </w:rPr>
        <w:t>no’lu</w:t>
      </w:r>
      <w:proofErr w:type="spellEnd"/>
      <w:r w:rsidR="003B2991">
        <w:rPr>
          <w:rFonts w:ascii="Times New Roman" w:hAnsi="Times New Roman" w:cs="Times New Roman"/>
          <w:lang w:eastAsia="ja-JP"/>
        </w:rPr>
        <w:t>) yapılan açıklamalar bir araya toplanıp bu tebliğler</w:t>
      </w:r>
      <w:r w:rsidR="0054054D">
        <w:rPr>
          <w:rFonts w:ascii="Times New Roman" w:hAnsi="Times New Roman" w:cs="Times New Roman"/>
          <w:lang w:eastAsia="ja-JP"/>
        </w:rPr>
        <w:t>in bu konudaki bölümleri</w:t>
      </w:r>
      <w:r w:rsidR="003B2991">
        <w:rPr>
          <w:rFonts w:ascii="Times New Roman" w:hAnsi="Times New Roman" w:cs="Times New Roman"/>
          <w:lang w:eastAsia="ja-JP"/>
        </w:rPr>
        <w:t xml:space="preserve"> yürürlükten kaldırılmıştır.</w:t>
      </w:r>
      <w:proofErr w:type="gramEnd"/>
    </w:p>
    <w:p w:rsidR="0054054D" w:rsidRDefault="0054054D" w:rsidP="0054054D">
      <w:pPr>
        <w:rPr>
          <w:rFonts w:ascii="Times New Roman" w:hAnsi="Times New Roman" w:cs="Times New Roman"/>
          <w:lang w:eastAsia="ja-JP"/>
        </w:rPr>
      </w:pPr>
      <w:r w:rsidRPr="0054054D">
        <w:rPr>
          <w:rFonts w:ascii="Times New Roman" w:hAnsi="Times New Roman" w:cs="Times New Roman"/>
          <w:lang w:eastAsia="ja-JP"/>
        </w:rPr>
        <w:t>Söz k</w:t>
      </w:r>
      <w:r>
        <w:rPr>
          <w:rFonts w:ascii="Times New Roman" w:hAnsi="Times New Roman" w:cs="Times New Roman"/>
          <w:lang w:eastAsia="ja-JP"/>
        </w:rPr>
        <w:t xml:space="preserve">onusu uygulamalar tebliğ yayın tarihinden sonra yapılacak iadelere ilişkindir. </w:t>
      </w:r>
    </w:p>
    <w:p w:rsidR="003B2991" w:rsidRDefault="0054054D" w:rsidP="0054054D">
      <w:pPr>
        <w:rPr>
          <w:rFonts w:ascii="Times New Roman" w:eastAsiaTheme="majorEastAsia" w:hAnsi="Times New Roman" w:cs="Times New Roman"/>
          <w:b/>
          <w:bCs/>
          <w:color w:val="365F91" w:themeColor="accent1" w:themeShade="BF"/>
          <w:sz w:val="28"/>
          <w:szCs w:val="28"/>
          <w:lang w:eastAsia="ja-JP"/>
        </w:rPr>
      </w:pPr>
      <w:r w:rsidRPr="0054054D">
        <w:rPr>
          <w:rFonts w:ascii="Times New Roman" w:eastAsiaTheme="majorEastAsia" w:hAnsi="Times New Roman" w:cs="Times New Roman"/>
          <w:b/>
          <w:bCs/>
          <w:color w:val="365F91" w:themeColor="accent1" w:themeShade="BF"/>
          <w:sz w:val="28"/>
          <w:szCs w:val="28"/>
          <w:lang w:eastAsia="ja-JP"/>
        </w:rPr>
        <w:t>Bazı Alacakların Yeniden Yapılandırılması Hakkında</w:t>
      </w:r>
      <w:r>
        <w:rPr>
          <w:rFonts w:ascii="Times New Roman" w:eastAsiaTheme="majorEastAsia" w:hAnsi="Times New Roman" w:cs="Times New Roman"/>
          <w:b/>
          <w:bCs/>
          <w:color w:val="365F91" w:themeColor="accent1" w:themeShade="BF"/>
          <w:sz w:val="28"/>
          <w:szCs w:val="28"/>
          <w:lang w:eastAsia="ja-JP"/>
        </w:rPr>
        <w:t xml:space="preserve"> </w:t>
      </w:r>
      <w:r w:rsidRPr="0054054D">
        <w:rPr>
          <w:rFonts w:ascii="Times New Roman" w:eastAsiaTheme="majorEastAsia" w:hAnsi="Times New Roman" w:cs="Times New Roman"/>
          <w:b/>
          <w:bCs/>
          <w:color w:val="365F91" w:themeColor="accent1" w:themeShade="BF"/>
          <w:sz w:val="28"/>
          <w:szCs w:val="28"/>
          <w:lang w:eastAsia="ja-JP"/>
        </w:rPr>
        <w:t xml:space="preserve">6111 Sayılı Kanun </w:t>
      </w:r>
      <w:r>
        <w:rPr>
          <w:rFonts w:ascii="Times New Roman" w:eastAsiaTheme="majorEastAsia" w:hAnsi="Times New Roman" w:cs="Times New Roman"/>
          <w:b/>
          <w:bCs/>
          <w:color w:val="365F91" w:themeColor="accent1" w:themeShade="BF"/>
          <w:sz w:val="28"/>
          <w:szCs w:val="28"/>
          <w:lang w:eastAsia="ja-JP"/>
        </w:rPr>
        <w:t xml:space="preserve">4 </w:t>
      </w:r>
      <w:proofErr w:type="spellStart"/>
      <w:r>
        <w:rPr>
          <w:rFonts w:ascii="Times New Roman" w:eastAsiaTheme="majorEastAsia" w:hAnsi="Times New Roman" w:cs="Times New Roman"/>
          <w:b/>
          <w:bCs/>
          <w:color w:val="365F91" w:themeColor="accent1" w:themeShade="BF"/>
          <w:sz w:val="28"/>
          <w:szCs w:val="28"/>
          <w:lang w:eastAsia="ja-JP"/>
        </w:rPr>
        <w:t>No’lu</w:t>
      </w:r>
      <w:proofErr w:type="spellEnd"/>
      <w:r>
        <w:rPr>
          <w:rFonts w:ascii="Times New Roman" w:eastAsiaTheme="majorEastAsia" w:hAnsi="Times New Roman" w:cs="Times New Roman"/>
          <w:b/>
          <w:bCs/>
          <w:color w:val="365F91" w:themeColor="accent1" w:themeShade="BF"/>
          <w:sz w:val="28"/>
          <w:szCs w:val="28"/>
          <w:lang w:eastAsia="ja-JP"/>
        </w:rPr>
        <w:t xml:space="preserve"> </w:t>
      </w:r>
      <w:r w:rsidRPr="0054054D">
        <w:rPr>
          <w:rFonts w:ascii="Times New Roman" w:eastAsiaTheme="majorEastAsia" w:hAnsi="Times New Roman" w:cs="Times New Roman"/>
          <w:b/>
          <w:bCs/>
          <w:color w:val="365F91" w:themeColor="accent1" w:themeShade="BF"/>
          <w:sz w:val="28"/>
          <w:szCs w:val="28"/>
          <w:lang w:eastAsia="ja-JP"/>
        </w:rPr>
        <w:t>Genel Tebliği</w:t>
      </w:r>
    </w:p>
    <w:p w:rsidR="003343C7" w:rsidRDefault="003343C7" w:rsidP="0054054D">
      <w:pPr>
        <w:rPr>
          <w:rFonts w:ascii="Times New Roman" w:hAnsi="Times New Roman" w:cs="Times New Roman"/>
          <w:color w:val="000000"/>
          <w:sz w:val="24"/>
          <w:szCs w:val="24"/>
        </w:rPr>
      </w:pPr>
      <w:r w:rsidRPr="000875DE">
        <w:rPr>
          <w:rFonts w:ascii="Times New Roman" w:hAnsi="Times New Roman" w:cs="Times New Roman"/>
          <w:color w:val="000000"/>
          <w:sz w:val="24"/>
          <w:szCs w:val="24"/>
        </w:rPr>
        <w:t xml:space="preserve">6322 sayılı </w:t>
      </w:r>
      <w:r w:rsidRPr="000875DE">
        <w:rPr>
          <w:rFonts w:ascii="Times New Roman" w:hAnsi="Times New Roman" w:cs="Times New Roman"/>
          <w:i/>
          <w:color w:val="000000"/>
          <w:sz w:val="24"/>
          <w:szCs w:val="24"/>
        </w:rPr>
        <w:t>Amme Alacaklarının Tahsil Usulü Hakkında Kanun ile Bazı Kanunlarda Değişiklik Yapılmasına Dair Kanun</w:t>
      </w:r>
      <w:r>
        <w:rPr>
          <w:rFonts w:ascii="Times New Roman" w:hAnsi="Times New Roman" w:cs="Times New Roman"/>
          <w:color w:val="000000"/>
          <w:sz w:val="24"/>
          <w:szCs w:val="24"/>
        </w:rPr>
        <w:t xml:space="preserve"> çerçevesinde getirilen </w:t>
      </w:r>
      <w:r w:rsidR="00F2259C">
        <w:rPr>
          <w:rFonts w:ascii="Times New Roman" w:hAnsi="Times New Roman" w:cs="Times New Roman"/>
          <w:color w:val="000000"/>
          <w:sz w:val="24"/>
          <w:szCs w:val="24"/>
        </w:rPr>
        <w:t xml:space="preserve">uygulamalara ilişkin yayımlanan tebliğdeki açıklamalar </w:t>
      </w:r>
      <w:r>
        <w:rPr>
          <w:rFonts w:ascii="Times New Roman" w:hAnsi="Times New Roman" w:cs="Times New Roman"/>
          <w:color w:val="000000"/>
          <w:sz w:val="24"/>
          <w:szCs w:val="24"/>
        </w:rPr>
        <w:t>aşağıdaki gibidir:</w:t>
      </w:r>
    </w:p>
    <w:p w:rsidR="00D13666" w:rsidRDefault="003343C7" w:rsidP="00D13666">
      <w:pPr>
        <w:pStyle w:val="ListParagraph"/>
        <w:numPr>
          <w:ilvl w:val="0"/>
          <w:numId w:val="15"/>
        </w:numPr>
        <w:rPr>
          <w:rFonts w:ascii="Times New Roman" w:hAnsi="Times New Roman" w:cs="Times New Roman"/>
          <w:lang w:eastAsia="ja-JP"/>
        </w:rPr>
      </w:pPr>
      <w:proofErr w:type="gramStart"/>
      <w:r>
        <w:rPr>
          <w:rFonts w:ascii="Times New Roman" w:hAnsi="Times New Roman" w:cs="Times New Roman"/>
          <w:lang w:eastAsia="ja-JP"/>
        </w:rPr>
        <w:t>6111 sayılı Kanun’dan kesinleşmiş alacaklar, kesinleşmemiş veya dava safhasında bulunan amme alacakları, i</w:t>
      </w:r>
      <w:r w:rsidRPr="003343C7">
        <w:rPr>
          <w:rFonts w:ascii="Times New Roman" w:hAnsi="Times New Roman" w:cs="Times New Roman"/>
          <w:lang w:eastAsia="ja-JP"/>
        </w:rPr>
        <w:t>nceleme ve tarhiyat safhasında bulunan vergiler</w:t>
      </w:r>
      <w:r>
        <w:rPr>
          <w:rFonts w:ascii="Times New Roman" w:hAnsi="Times New Roman" w:cs="Times New Roman"/>
          <w:lang w:eastAsia="ja-JP"/>
        </w:rPr>
        <w:t>, p</w:t>
      </w:r>
      <w:r w:rsidRPr="003343C7">
        <w:rPr>
          <w:rFonts w:ascii="Times New Roman" w:hAnsi="Times New Roman" w:cs="Times New Roman"/>
          <w:lang w:eastAsia="ja-JP"/>
        </w:rPr>
        <w:t>işmanlıkla ya da kendiliğinden yapılan beyanlar</w:t>
      </w:r>
      <w:r>
        <w:rPr>
          <w:rFonts w:ascii="Times New Roman" w:hAnsi="Times New Roman" w:cs="Times New Roman"/>
          <w:lang w:eastAsia="ja-JP"/>
        </w:rPr>
        <w:t>, matrah ve vergi artırımları, stok beyan</w:t>
      </w:r>
      <w:r w:rsidR="00D13666">
        <w:rPr>
          <w:rFonts w:ascii="Times New Roman" w:hAnsi="Times New Roman" w:cs="Times New Roman"/>
          <w:lang w:eastAsia="ja-JP"/>
        </w:rPr>
        <w:t>ları, kesinleşmiş SGK alacaklar</w:t>
      </w:r>
      <w:r w:rsidR="00A232B0">
        <w:rPr>
          <w:rFonts w:ascii="Times New Roman" w:hAnsi="Times New Roman" w:cs="Times New Roman"/>
          <w:lang w:eastAsia="ja-JP"/>
        </w:rPr>
        <w:t xml:space="preserve"> veya d</w:t>
      </w:r>
      <w:r w:rsidR="00A232B0" w:rsidRPr="00A232B0">
        <w:rPr>
          <w:rFonts w:ascii="Times New Roman" w:hAnsi="Times New Roman" w:cs="Times New Roman"/>
          <w:lang w:eastAsia="ja-JP"/>
        </w:rPr>
        <w:t>ava safhasında bulunan veya dava açma süresi sona ermemiş idari para cezaları</w:t>
      </w:r>
      <w:r w:rsidR="00D13666">
        <w:rPr>
          <w:rFonts w:ascii="Times New Roman" w:hAnsi="Times New Roman" w:cs="Times New Roman"/>
          <w:lang w:eastAsia="ja-JP"/>
        </w:rPr>
        <w:t xml:space="preserve"> için yararlanmak için yapıl</w:t>
      </w:r>
      <w:r w:rsidR="008045F7">
        <w:rPr>
          <w:rFonts w:ascii="Times New Roman" w:hAnsi="Times New Roman" w:cs="Times New Roman"/>
          <w:lang w:eastAsia="ja-JP"/>
        </w:rPr>
        <w:t xml:space="preserve">andırma başvurusunda bulunup </w:t>
      </w:r>
      <w:r w:rsidR="008045F7" w:rsidRPr="00D13666">
        <w:rPr>
          <w:rFonts w:ascii="Times New Roman" w:hAnsi="Times New Roman" w:cs="Times New Roman"/>
          <w:u w:val="single"/>
          <w:lang w:eastAsia="ja-JP"/>
        </w:rPr>
        <w:t xml:space="preserve">15.6.2012 tarihi itibariyle ödenmesi gereken </w:t>
      </w:r>
      <w:r w:rsidR="008045F7">
        <w:rPr>
          <w:rFonts w:ascii="Times New Roman" w:hAnsi="Times New Roman" w:cs="Times New Roman"/>
          <w:u w:val="single"/>
          <w:lang w:eastAsia="ja-JP"/>
        </w:rPr>
        <w:t>6111 taksit tutarlarını</w:t>
      </w:r>
      <w:r w:rsidR="008045F7" w:rsidRPr="00D13666">
        <w:rPr>
          <w:rFonts w:ascii="Times New Roman" w:hAnsi="Times New Roman" w:cs="Times New Roman"/>
          <w:u w:val="single"/>
          <w:lang w:eastAsia="ja-JP"/>
        </w:rPr>
        <w:t xml:space="preserve"> süresinde ödemeyerek Kanun hükümlerini ihlal edenler</w:t>
      </w:r>
      <w:r w:rsidR="00D13666">
        <w:rPr>
          <w:rFonts w:ascii="Times New Roman" w:hAnsi="Times New Roman" w:cs="Times New Roman"/>
          <w:lang w:eastAsia="ja-JP"/>
        </w:rPr>
        <w:t>;</w:t>
      </w:r>
      <w:proofErr w:type="gramEnd"/>
    </w:p>
    <w:p w:rsidR="008045F7" w:rsidRDefault="00367E70" w:rsidP="008045F7">
      <w:pPr>
        <w:pStyle w:val="ListParagraph"/>
        <w:numPr>
          <w:ilvl w:val="1"/>
          <w:numId w:val="15"/>
        </w:numPr>
        <w:rPr>
          <w:rFonts w:ascii="Times New Roman" w:hAnsi="Times New Roman" w:cs="Times New Roman"/>
          <w:lang w:eastAsia="ja-JP"/>
        </w:rPr>
      </w:pPr>
      <w:proofErr w:type="gramStart"/>
      <w:r>
        <w:rPr>
          <w:rFonts w:ascii="Times New Roman" w:hAnsi="Times New Roman" w:cs="Times New Roman"/>
          <w:lang w:eastAsia="ja-JP"/>
        </w:rPr>
        <w:t>b</w:t>
      </w:r>
      <w:r w:rsidR="008045F7" w:rsidRPr="00D13666">
        <w:rPr>
          <w:rFonts w:ascii="Times New Roman" w:hAnsi="Times New Roman" w:cs="Times New Roman"/>
          <w:lang w:eastAsia="ja-JP"/>
        </w:rPr>
        <w:t>u</w:t>
      </w:r>
      <w:proofErr w:type="gramEnd"/>
      <w:r w:rsidR="008045F7" w:rsidRPr="00D13666">
        <w:rPr>
          <w:rFonts w:ascii="Times New Roman" w:hAnsi="Times New Roman" w:cs="Times New Roman"/>
          <w:lang w:eastAsia="ja-JP"/>
        </w:rPr>
        <w:t xml:space="preserve"> tutarları ödemeleri gerektiği tarihten itibaren ge</w:t>
      </w:r>
      <w:r w:rsidR="008045F7">
        <w:rPr>
          <w:rFonts w:ascii="Times New Roman" w:hAnsi="Times New Roman" w:cs="Times New Roman"/>
          <w:lang w:eastAsia="ja-JP"/>
        </w:rPr>
        <w:t>cikme</w:t>
      </w:r>
      <w:r w:rsidR="008045F7" w:rsidRPr="00D13666">
        <w:rPr>
          <w:rFonts w:ascii="Times New Roman" w:hAnsi="Times New Roman" w:cs="Times New Roman"/>
          <w:lang w:eastAsia="ja-JP"/>
        </w:rPr>
        <w:t xml:space="preserve"> zammı ile birlikte </w:t>
      </w:r>
      <w:r w:rsidR="001E12C6">
        <w:rPr>
          <w:rFonts w:ascii="Times New Roman" w:hAnsi="Times New Roman" w:cs="Times New Roman"/>
          <w:lang w:eastAsia="ja-JP"/>
        </w:rPr>
        <w:t>01.07.2012 ile 31.10.2012 tarihleri arasında</w:t>
      </w:r>
      <w:r w:rsidR="008045F7" w:rsidRPr="00D13666">
        <w:rPr>
          <w:rFonts w:ascii="Times New Roman" w:hAnsi="Times New Roman" w:cs="Times New Roman"/>
          <w:lang w:eastAsia="ja-JP"/>
        </w:rPr>
        <w:t xml:space="preserve"> ödemeleri şartıyla </w:t>
      </w:r>
      <w:r w:rsidR="008045F7">
        <w:rPr>
          <w:rFonts w:ascii="Times New Roman" w:hAnsi="Times New Roman" w:cs="Times New Roman"/>
          <w:lang w:eastAsia="ja-JP"/>
        </w:rPr>
        <w:t>6111</w:t>
      </w:r>
      <w:r w:rsidR="008045F7" w:rsidRPr="00D13666">
        <w:rPr>
          <w:rFonts w:ascii="Times New Roman" w:hAnsi="Times New Roman" w:cs="Times New Roman"/>
          <w:lang w:eastAsia="ja-JP"/>
        </w:rPr>
        <w:t xml:space="preserve"> hükümlerinden yararlandırılı</w:t>
      </w:r>
      <w:r w:rsidR="008045F7">
        <w:rPr>
          <w:rFonts w:ascii="Times New Roman" w:hAnsi="Times New Roman" w:cs="Times New Roman"/>
          <w:lang w:eastAsia="ja-JP"/>
        </w:rPr>
        <w:t>r</w:t>
      </w:r>
    </w:p>
    <w:p w:rsidR="00367E70" w:rsidRDefault="00D13666" w:rsidP="008045F7">
      <w:pPr>
        <w:pStyle w:val="ListParagraph"/>
        <w:numPr>
          <w:ilvl w:val="0"/>
          <w:numId w:val="15"/>
        </w:numPr>
        <w:rPr>
          <w:rFonts w:ascii="Times New Roman" w:hAnsi="Times New Roman" w:cs="Times New Roman"/>
          <w:lang w:eastAsia="ja-JP"/>
        </w:rPr>
      </w:pPr>
      <w:proofErr w:type="gramStart"/>
      <w:r w:rsidRPr="008045F7">
        <w:rPr>
          <w:rFonts w:ascii="Times New Roman" w:hAnsi="Times New Roman" w:cs="Times New Roman"/>
          <w:lang w:eastAsia="ja-JP"/>
        </w:rPr>
        <w:t xml:space="preserve">Kesinleşmiş alacaklar ve kesinleşmemiş veya dava safhasında bulunan amme alacaklarına ilişkin 6111 sayılı Kanun’dan </w:t>
      </w:r>
      <w:r w:rsidR="00A232B0" w:rsidRPr="008045F7">
        <w:rPr>
          <w:rFonts w:ascii="Times New Roman" w:hAnsi="Times New Roman" w:cs="Times New Roman"/>
          <w:lang w:eastAsia="ja-JP"/>
        </w:rPr>
        <w:t>yararlanmak için başvurusunda bulun</w:t>
      </w:r>
      <w:r w:rsidR="008045F7" w:rsidRPr="008045F7">
        <w:rPr>
          <w:rFonts w:ascii="Times New Roman" w:hAnsi="Times New Roman" w:cs="Times New Roman"/>
          <w:lang w:eastAsia="ja-JP"/>
        </w:rPr>
        <w:t>up</w:t>
      </w:r>
      <w:r w:rsidR="008045F7">
        <w:rPr>
          <w:rFonts w:ascii="Times New Roman" w:hAnsi="Times New Roman" w:cs="Times New Roman"/>
          <w:lang w:eastAsia="ja-JP"/>
        </w:rPr>
        <w:t xml:space="preserve"> </w:t>
      </w:r>
      <w:r w:rsidRPr="008045F7">
        <w:rPr>
          <w:rFonts w:ascii="Times New Roman" w:hAnsi="Times New Roman" w:cs="Times New Roman"/>
          <w:lang w:eastAsia="ja-JP"/>
        </w:rPr>
        <w:t xml:space="preserve">gelir veya kurumlar vergilerini, gelir (stopaj) vergisi, kurumlar (stopaj) vergisi, </w:t>
      </w:r>
      <w:r w:rsidR="008045F7">
        <w:rPr>
          <w:rFonts w:ascii="Times New Roman" w:hAnsi="Times New Roman" w:cs="Times New Roman"/>
          <w:lang w:eastAsia="ja-JP"/>
        </w:rPr>
        <w:t>KDV</w:t>
      </w:r>
      <w:r w:rsidRPr="008045F7">
        <w:rPr>
          <w:rFonts w:ascii="Times New Roman" w:hAnsi="Times New Roman" w:cs="Times New Roman"/>
          <w:lang w:eastAsia="ja-JP"/>
        </w:rPr>
        <w:t xml:space="preserve"> ve </w:t>
      </w:r>
      <w:r w:rsidR="008045F7">
        <w:rPr>
          <w:rFonts w:ascii="Times New Roman" w:hAnsi="Times New Roman" w:cs="Times New Roman"/>
          <w:lang w:eastAsia="ja-JP"/>
        </w:rPr>
        <w:t xml:space="preserve">ÖTV’sini </w:t>
      </w:r>
      <w:r w:rsidRPr="008045F7">
        <w:rPr>
          <w:rFonts w:ascii="Times New Roman" w:hAnsi="Times New Roman" w:cs="Times New Roman"/>
          <w:lang w:eastAsia="ja-JP"/>
        </w:rPr>
        <w:t xml:space="preserve">taksit ödeme </w:t>
      </w:r>
      <w:r w:rsidRPr="008045F7">
        <w:rPr>
          <w:rFonts w:ascii="Times New Roman" w:hAnsi="Times New Roman" w:cs="Times New Roman"/>
          <w:lang w:eastAsia="ja-JP"/>
        </w:rPr>
        <w:lastRenderedPageBreak/>
        <w:t xml:space="preserve">süresince bu beyannameler üzerine tahakkuk eden vergileri </w:t>
      </w:r>
      <w:r w:rsidR="00A232B0" w:rsidRPr="008045F7">
        <w:rPr>
          <w:rFonts w:ascii="Times New Roman" w:hAnsi="Times New Roman" w:cs="Times New Roman"/>
          <w:lang w:eastAsia="ja-JP"/>
        </w:rPr>
        <w:t>1</w:t>
      </w:r>
      <w:r w:rsidRPr="008045F7">
        <w:rPr>
          <w:rFonts w:ascii="Times New Roman" w:hAnsi="Times New Roman" w:cs="Times New Roman"/>
          <w:lang w:eastAsia="ja-JP"/>
        </w:rPr>
        <w:t xml:space="preserve"> takvim yılında </w:t>
      </w:r>
      <w:r w:rsidR="00A232B0" w:rsidRPr="008045F7">
        <w:rPr>
          <w:rFonts w:ascii="Times New Roman" w:hAnsi="Times New Roman" w:cs="Times New Roman"/>
          <w:lang w:eastAsia="ja-JP"/>
        </w:rPr>
        <w:t>2’</w:t>
      </w:r>
      <w:r w:rsidRPr="008045F7">
        <w:rPr>
          <w:rFonts w:ascii="Times New Roman" w:hAnsi="Times New Roman" w:cs="Times New Roman"/>
          <w:lang w:eastAsia="ja-JP"/>
        </w:rPr>
        <w:t>den fazla vadesinde ödeme</w:t>
      </w:r>
      <w:r w:rsidR="00A232B0" w:rsidRPr="008045F7">
        <w:rPr>
          <w:rFonts w:ascii="Times New Roman" w:hAnsi="Times New Roman" w:cs="Times New Roman"/>
          <w:lang w:eastAsia="ja-JP"/>
        </w:rPr>
        <w:t>yip</w:t>
      </w:r>
      <w:r w:rsidRPr="008045F7">
        <w:rPr>
          <w:rFonts w:ascii="Times New Roman" w:hAnsi="Times New Roman" w:cs="Times New Roman"/>
          <w:lang w:eastAsia="ja-JP"/>
        </w:rPr>
        <w:t xml:space="preserve"> ya da eksik </w:t>
      </w:r>
      <w:r w:rsidR="00A232B0" w:rsidRPr="008045F7">
        <w:rPr>
          <w:rFonts w:ascii="Times New Roman" w:hAnsi="Times New Roman" w:cs="Times New Roman"/>
          <w:lang w:eastAsia="ja-JP"/>
        </w:rPr>
        <w:t>ödeyip</w:t>
      </w:r>
      <w:r w:rsidRPr="008045F7">
        <w:rPr>
          <w:rFonts w:ascii="Times New Roman" w:hAnsi="Times New Roman" w:cs="Times New Roman"/>
          <w:lang w:eastAsia="ja-JP"/>
        </w:rPr>
        <w:t xml:space="preserve"> 6111 sayılı Kanu</w:t>
      </w:r>
      <w:r w:rsidR="00367E70">
        <w:rPr>
          <w:rFonts w:ascii="Times New Roman" w:hAnsi="Times New Roman" w:cs="Times New Roman"/>
          <w:lang w:eastAsia="ja-JP"/>
        </w:rPr>
        <w:t>n’u ihlal etmiş olan borçlular;</w:t>
      </w:r>
      <w:proofErr w:type="gramEnd"/>
    </w:p>
    <w:p w:rsidR="008045F7" w:rsidRDefault="00367E70" w:rsidP="008045F7">
      <w:pPr>
        <w:pStyle w:val="ListParagraph"/>
        <w:numPr>
          <w:ilvl w:val="0"/>
          <w:numId w:val="15"/>
        </w:numPr>
        <w:rPr>
          <w:rFonts w:ascii="Times New Roman" w:hAnsi="Times New Roman" w:cs="Times New Roman"/>
          <w:lang w:eastAsia="ja-JP"/>
        </w:rPr>
      </w:pPr>
      <w:r w:rsidRPr="00A232B0">
        <w:rPr>
          <w:rFonts w:ascii="Times New Roman" w:hAnsi="Times New Roman" w:cs="Times New Roman"/>
          <w:lang w:eastAsia="ja-JP"/>
        </w:rPr>
        <w:t xml:space="preserve">Kesinleşmiş </w:t>
      </w:r>
      <w:r>
        <w:rPr>
          <w:rFonts w:ascii="Times New Roman" w:hAnsi="Times New Roman" w:cs="Times New Roman"/>
          <w:lang w:eastAsia="ja-JP"/>
        </w:rPr>
        <w:t>SGK</w:t>
      </w:r>
      <w:r w:rsidRPr="00A232B0">
        <w:rPr>
          <w:rFonts w:ascii="Times New Roman" w:hAnsi="Times New Roman" w:cs="Times New Roman"/>
          <w:lang w:eastAsia="ja-JP"/>
        </w:rPr>
        <w:t xml:space="preserve"> alacakları</w:t>
      </w:r>
      <w:r>
        <w:rPr>
          <w:rFonts w:ascii="Times New Roman" w:hAnsi="Times New Roman" w:cs="Times New Roman"/>
          <w:lang w:eastAsia="ja-JP"/>
        </w:rPr>
        <w:t xml:space="preserve"> ve d</w:t>
      </w:r>
      <w:r w:rsidRPr="00A232B0">
        <w:rPr>
          <w:rFonts w:ascii="Times New Roman" w:hAnsi="Times New Roman" w:cs="Times New Roman"/>
          <w:lang w:eastAsia="ja-JP"/>
        </w:rPr>
        <w:t>ava safhasında bulunan veya dava açma süresi sona ermemiş idari para cezaları</w:t>
      </w:r>
      <w:r>
        <w:rPr>
          <w:rFonts w:ascii="Times New Roman" w:hAnsi="Times New Roman" w:cs="Times New Roman"/>
          <w:lang w:eastAsia="ja-JP"/>
        </w:rPr>
        <w:t xml:space="preserve"> hükümlerinden yararlanan </w:t>
      </w:r>
      <w:r w:rsidRPr="00A232B0">
        <w:rPr>
          <w:rFonts w:ascii="Times New Roman" w:hAnsi="Times New Roman" w:cs="Times New Roman"/>
          <w:lang w:eastAsia="ja-JP"/>
        </w:rPr>
        <w:t xml:space="preserve">borçluların taksit ödeme süresince tahakkuk eden sigorta primlerini </w:t>
      </w:r>
      <w:r>
        <w:rPr>
          <w:rFonts w:ascii="Times New Roman" w:hAnsi="Times New Roman" w:cs="Times New Roman"/>
          <w:lang w:eastAsia="ja-JP"/>
        </w:rPr>
        <w:t>1</w:t>
      </w:r>
      <w:r w:rsidRPr="00A232B0">
        <w:rPr>
          <w:rFonts w:ascii="Times New Roman" w:hAnsi="Times New Roman" w:cs="Times New Roman"/>
          <w:lang w:eastAsia="ja-JP"/>
        </w:rPr>
        <w:t xml:space="preserve"> takvim yılında </w:t>
      </w:r>
      <w:r>
        <w:rPr>
          <w:rFonts w:ascii="Times New Roman" w:hAnsi="Times New Roman" w:cs="Times New Roman"/>
          <w:lang w:eastAsia="ja-JP"/>
        </w:rPr>
        <w:t>2’den</w:t>
      </w:r>
      <w:r w:rsidRPr="00A232B0">
        <w:rPr>
          <w:rFonts w:ascii="Times New Roman" w:hAnsi="Times New Roman" w:cs="Times New Roman"/>
          <w:lang w:eastAsia="ja-JP"/>
        </w:rPr>
        <w:t xml:space="preserve"> fazla vadesinde ödeme</w:t>
      </w:r>
      <w:r>
        <w:rPr>
          <w:rFonts w:ascii="Times New Roman" w:hAnsi="Times New Roman" w:cs="Times New Roman"/>
          <w:lang w:eastAsia="ja-JP"/>
        </w:rPr>
        <w:t>yen ya da eksik ödeyenler</w:t>
      </w:r>
    </w:p>
    <w:p w:rsidR="00A232B0" w:rsidRPr="008045F7" w:rsidRDefault="00A232B0" w:rsidP="008045F7">
      <w:pPr>
        <w:pStyle w:val="ListParagraph"/>
        <w:numPr>
          <w:ilvl w:val="1"/>
          <w:numId w:val="15"/>
        </w:numPr>
        <w:rPr>
          <w:rFonts w:ascii="Times New Roman" w:hAnsi="Times New Roman" w:cs="Times New Roman"/>
          <w:lang w:eastAsia="ja-JP"/>
        </w:rPr>
      </w:pPr>
      <w:proofErr w:type="gramStart"/>
      <w:r w:rsidRPr="008045F7">
        <w:rPr>
          <w:rFonts w:ascii="Times New Roman" w:hAnsi="Times New Roman" w:cs="Times New Roman"/>
          <w:lang w:eastAsia="ja-JP"/>
        </w:rPr>
        <w:t>ihlale</w:t>
      </w:r>
      <w:proofErr w:type="gramEnd"/>
      <w:r w:rsidRPr="008045F7">
        <w:rPr>
          <w:rFonts w:ascii="Times New Roman" w:hAnsi="Times New Roman" w:cs="Times New Roman"/>
          <w:lang w:eastAsia="ja-JP"/>
        </w:rPr>
        <w:t xml:space="preserve"> neden olan tutarları, yukarıda belirtilen sürede ödemeleri ya da bu süre içerisinde veya 15.6.2012’den önce yaptıkları başvurulara dayanılarak 6183 sayılı Kanun’a göre çok zor durumda olduklarının tespit edilmesi halinde bu borçlular da 6111 sayıl Kanun</w:t>
      </w:r>
      <w:r w:rsidR="00367E70">
        <w:rPr>
          <w:rFonts w:ascii="Times New Roman" w:hAnsi="Times New Roman" w:cs="Times New Roman"/>
          <w:lang w:eastAsia="ja-JP"/>
        </w:rPr>
        <w:t xml:space="preserve"> hükümlerinden yararlandırılır.</w:t>
      </w:r>
    </w:p>
    <w:p w:rsidR="00D13666" w:rsidRDefault="001E12C6" w:rsidP="001E12C6">
      <w:pPr>
        <w:pStyle w:val="ListParagraph"/>
        <w:numPr>
          <w:ilvl w:val="0"/>
          <w:numId w:val="15"/>
        </w:numPr>
        <w:rPr>
          <w:rFonts w:ascii="Times New Roman" w:hAnsi="Times New Roman" w:cs="Times New Roman"/>
          <w:lang w:eastAsia="ja-JP"/>
        </w:rPr>
      </w:pPr>
      <w:r>
        <w:rPr>
          <w:rFonts w:ascii="Times New Roman" w:hAnsi="Times New Roman" w:cs="Times New Roman"/>
          <w:lang w:eastAsia="ja-JP"/>
        </w:rPr>
        <w:t>Yukarıda bahsi geçen</w:t>
      </w:r>
      <w:r w:rsidRPr="001E12C6">
        <w:rPr>
          <w:rFonts w:ascii="Times New Roman" w:hAnsi="Times New Roman" w:cs="Times New Roman"/>
          <w:lang w:eastAsia="ja-JP"/>
        </w:rPr>
        <w:t xml:space="preserve"> hükümlerinden yararlanan borçlulardan, </w:t>
      </w:r>
      <w:r>
        <w:rPr>
          <w:rFonts w:ascii="Times New Roman" w:hAnsi="Times New Roman" w:cs="Times New Roman"/>
          <w:lang w:eastAsia="ja-JP"/>
        </w:rPr>
        <w:t>15.6.2012</w:t>
      </w:r>
      <w:r w:rsidRPr="001E12C6">
        <w:rPr>
          <w:rFonts w:ascii="Times New Roman" w:hAnsi="Times New Roman" w:cs="Times New Roman"/>
          <w:lang w:eastAsia="ja-JP"/>
        </w:rPr>
        <w:t xml:space="preserve"> tarih</w:t>
      </w:r>
      <w:r>
        <w:rPr>
          <w:rFonts w:ascii="Times New Roman" w:hAnsi="Times New Roman" w:cs="Times New Roman"/>
          <w:lang w:eastAsia="ja-JP"/>
        </w:rPr>
        <w:t>ind</w:t>
      </w:r>
      <w:r w:rsidRPr="001E12C6">
        <w:rPr>
          <w:rFonts w:ascii="Times New Roman" w:hAnsi="Times New Roman" w:cs="Times New Roman"/>
          <w:lang w:eastAsia="ja-JP"/>
        </w:rPr>
        <w:t xml:space="preserve">en önce </w:t>
      </w:r>
      <w:r>
        <w:rPr>
          <w:rFonts w:ascii="Times New Roman" w:hAnsi="Times New Roman" w:cs="Times New Roman"/>
          <w:lang w:eastAsia="ja-JP"/>
        </w:rPr>
        <w:t>6111 sayılı Kanun</w:t>
      </w:r>
      <w:r w:rsidRPr="001E12C6">
        <w:rPr>
          <w:rFonts w:ascii="Times New Roman" w:hAnsi="Times New Roman" w:cs="Times New Roman"/>
          <w:lang w:eastAsia="ja-JP"/>
        </w:rPr>
        <w:t xml:space="preserve"> kapsamında yapılandırılan alacaklara karşılık cebren ya da </w:t>
      </w:r>
      <w:proofErr w:type="spellStart"/>
      <w:r w:rsidRPr="001E12C6">
        <w:rPr>
          <w:rFonts w:ascii="Times New Roman" w:hAnsi="Times New Roman" w:cs="Times New Roman"/>
          <w:lang w:eastAsia="ja-JP"/>
        </w:rPr>
        <w:t>rızaen</w:t>
      </w:r>
      <w:proofErr w:type="spellEnd"/>
      <w:r w:rsidRPr="001E12C6">
        <w:rPr>
          <w:rFonts w:ascii="Times New Roman" w:hAnsi="Times New Roman" w:cs="Times New Roman"/>
          <w:lang w:eastAsia="ja-JP"/>
        </w:rPr>
        <w:t xml:space="preserve"> tahsil edilen tutarlar, </w:t>
      </w:r>
      <w:r>
        <w:rPr>
          <w:rFonts w:ascii="Times New Roman" w:hAnsi="Times New Roman" w:cs="Times New Roman"/>
          <w:lang w:eastAsia="ja-JP"/>
        </w:rPr>
        <w:t>6111’e</w:t>
      </w:r>
      <w:r w:rsidRPr="001E12C6">
        <w:rPr>
          <w:rFonts w:ascii="Times New Roman" w:hAnsi="Times New Roman" w:cs="Times New Roman"/>
          <w:lang w:eastAsia="ja-JP"/>
        </w:rPr>
        <w:t xml:space="preserve"> göre ödenmesi gereken taksitlerin en eski vadeli olanından başlamak üzere ve tahsil edildikleri tarihler dikkate alınarak bu </w:t>
      </w:r>
      <w:r>
        <w:rPr>
          <w:rFonts w:ascii="Times New Roman" w:hAnsi="Times New Roman" w:cs="Times New Roman"/>
          <w:lang w:eastAsia="ja-JP"/>
        </w:rPr>
        <w:t>hükümlere</w:t>
      </w:r>
      <w:r w:rsidRPr="001E12C6">
        <w:rPr>
          <w:rFonts w:ascii="Times New Roman" w:hAnsi="Times New Roman" w:cs="Times New Roman"/>
          <w:lang w:eastAsia="ja-JP"/>
        </w:rPr>
        <w:t xml:space="preserve"> göre mahsup edilir. Bu şekilde yapılan mahsup sonrasında </w:t>
      </w:r>
      <w:r>
        <w:rPr>
          <w:rFonts w:ascii="Times New Roman" w:hAnsi="Times New Roman" w:cs="Times New Roman"/>
          <w:lang w:eastAsia="ja-JP"/>
        </w:rPr>
        <w:t>6111</w:t>
      </w:r>
      <w:r w:rsidRPr="001E12C6">
        <w:rPr>
          <w:rFonts w:ascii="Times New Roman" w:hAnsi="Times New Roman" w:cs="Times New Roman"/>
          <w:lang w:eastAsia="ja-JP"/>
        </w:rPr>
        <w:t xml:space="preserve"> hükümlerine göre ödenmesi gereken tutarlardan fazla ödendiği tespit edilen tutarlar ilgili mevzuat hükümlerine göre </w:t>
      </w:r>
      <w:proofErr w:type="spellStart"/>
      <w:r w:rsidRPr="001E12C6">
        <w:rPr>
          <w:rFonts w:ascii="Times New Roman" w:hAnsi="Times New Roman" w:cs="Times New Roman"/>
          <w:lang w:eastAsia="ja-JP"/>
        </w:rPr>
        <w:t>red</w:t>
      </w:r>
      <w:proofErr w:type="spellEnd"/>
      <w:r w:rsidRPr="001E12C6">
        <w:rPr>
          <w:rFonts w:ascii="Times New Roman" w:hAnsi="Times New Roman" w:cs="Times New Roman"/>
          <w:lang w:eastAsia="ja-JP"/>
        </w:rPr>
        <w:t xml:space="preserve"> ve iade edilir.</w:t>
      </w:r>
    </w:p>
    <w:p w:rsidR="001E12C6" w:rsidRDefault="001E12C6" w:rsidP="001E12C6">
      <w:pPr>
        <w:rPr>
          <w:rFonts w:ascii="Times New Roman" w:hAnsi="Times New Roman" w:cs="Times New Roman"/>
          <w:lang w:eastAsia="ja-JP"/>
        </w:rPr>
      </w:pPr>
      <w:r>
        <w:rPr>
          <w:rFonts w:ascii="Times New Roman" w:hAnsi="Times New Roman" w:cs="Times New Roman"/>
          <w:lang w:eastAsia="ja-JP"/>
        </w:rPr>
        <w:t>Tebliğ hakkında daha detaylı bilgi için bize başvurabilirsiniz.</w:t>
      </w:r>
    </w:p>
    <w:p w:rsidR="001E12C6" w:rsidRPr="000875DE" w:rsidRDefault="001E12C6" w:rsidP="001E12C6">
      <w:pPr>
        <w:pStyle w:val="Heading1"/>
        <w:rPr>
          <w:rFonts w:ascii="Times New Roman" w:hAnsi="Times New Roman" w:cs="Times New Roman"/>
          <w:lang w:val="tr-TR"/>
        </w:rPr>
      </w:pPr>
      <w:r>
        <w:rPr>
          <w:rFonts w:ascii="Times New Roman" w:hAnsi="Times New Roman" w:cs="Times New Roman"/>
          <w:lang w:val="tr-TR"/>
        </w:rPr>
        <w:t xml:space="preserve">Vergi Usul Kanunu 415, 416 ve 417 </w:t>
      </w:r>
      <w:proofErr w:type="spellStart"/>
      <w:r>
        <w:rPr>
          <w:rFonts w:ascii="Times New Roman" w:hAnsi="Times New Roman" w:cs="Times New Roman"/>
          <w:lang w:val="tr-TR"/>
        </w:rPr>
        <w:t>no’lu</w:t>
      </w:r>
      <w:proofErr w:type="spellEnd"/>
      <w:r>
        <w:rPr>
          <w:rFonts w:ascii="Times New Roman" w:hAnsi="Times New Roman" w:cs="Times New Roman"/>
          <w:lang w:val="tr-TR"/>
        </w:rPr>
        <w:t xml:space="preserve"> Tebliğleri</w:t>
      </w:r>
    </w:p>
    <w:p w:rsidR="001E12C6" w:rsidRDefault="001E12C6" w:rsidP="001E12C6">
      <w:pPr>
        <w:rPr>
          <w:rFonts w:ascii="Times New Roman" w:hAnsi="Times New Roman" w:cs="Times New Roman"/>
          <w:lang w:eastAsia="ja-JP"/>
        </w:rPr>
      </w:pPr>
    </w:p>
    <w:p w:rsidR="001E12C6" w:rsidRDefault="001E12C6" w:rsidP="001E12C6">
      <w:pPr>
        <w:rPr>
          <w:rFonts w:ascii="Times New Roman" w:hAnsi="Times New Roman" w:cs="Times New Roman"/>
          <w:lang w:eastAsia="ja-JP"/>
        </w:rPr>
      </w:pPr>
      <w:r>
        <w:rPr>
          <w:rFonts w:ascii="Times New Roman" w:hAnsi="Times New Roman" w:cs="Times New Roman"/>
          <w:lang w:eastAsia="ja-JP"/>
        </w:rPr>
        <w:t xml:space="preserve">26, 28 ve 29 Haziran tarihlerinde yeni 3 </w:t>
      </w:r>
      <w:r w:rsidRPr="001E12C6">
        <w:rPr>
          <w:rFonts w:ascii="Times New Roman" w:hAnsi="Times New Roman" w:cs="Times New Roman"/>
          <w:i/>
          <w:lang w:eastAsia="ja-JP"/>
        </w:rPr>
        <w:t>Vergi Usul Kanunu Genel Tebliği</w:t>
      </w:r>
      <w:r>
        <w:rPr>
          <w:rFonts w:ascii="Times New Roman" w:hAnsi="Times New Roman" w:cs="Times New Roman"/>
          <w:lang w:eastAsia="ja-JP"/>
        </w:rPr>
        <w:t xml:space="preserve"> Resmi </w:t>
      </w:r>
      <w:proofErr w:type="spellStart"/>
      <w:r>
        <w:rPr>
          <w:rFonts w:ascii="Times New Roman" w:hAnsi="Times New Roman" w:cs="Times New Roman"/>
          <w:lang w:eastAsia="ja-JP"/>
        </w:rPr>
        <w:t>Gazete’de</w:t>
      </w:r>
      <w:proofErr w:type="spellEnd"/>
      <w:r>
        <w:rPr>
          <w:rFonts w:ascii="Times New Roman" w:hAnsi="Times New Roman" w:cs="Times New Roman"/>
          <w:lang w:eastAsia="ja-JP"/>
        </w:rPr>
        <w:t xml:space="preserve"> yayımlanmıştır. Söz konusu tebliğlerde elektronik </w:t>
      </w:r>
      <w:r w:rsidR="00F25846">
        <w:rPr>
          <w:rFonts w:ascii="Times New Roman" w:hAnsi="Times New Roman" w:cs="Times New Roman"/>
          <w:lang w:eastAsia="ja-JP"/>
        </w:rPr>
        <w:t>bilet, e-fatura ve vergi borçlularının açıklanmasına</w:t>
      </w:r>
      <w:r w:rsidR="0094311B">
        <w:rPr>
          <w:rFonts w:ascii="Times New Roman" w:hAnsi="Times New Roman" w:cs="Times New Roman"/>
          <w:lang w:eastAsia="ja-JP"/>
        </w:rPr>
        <w:t xml:space="preserve"> i</w:t>
      </w:r>
      <w:r w:rsidR="0094311B" w:rsidRPr="0094311B">
        <w:rPr>
          <w:rFonts w:ascii="Times New Roman" w:hAnsi="Times New Roman" w:cs="Times New Roman"/>
          <w:lang w:eastAsia="ja-JP"/>
        </w:rPr>
        <w:t xml:space="preserve">lişkin </w:t>
      </w:r>
      <w:r w:rsidR="0094311B">
        <w:rPr>
          <w:rFonts w:ascii="Times New Roman" w:hAnsi="Times New Roman" w:cs="Times New Roman"/>
          <w:lang w:eastAsia="ja-JP"/>
        </w:rPr>
        <w:t xml:space="preserve">aşağıdaki </w:t>
      </w:r>
      <w:r w:rsidR="00F25846">
        <w:rPr>
          <w:rFonts w:ascii="Times New Roman" w:hAnsi="Times New Roman" w:cs="Times New Roman"/>
          <w:lang w:eastAsia="ja-JP"/>
        </w:rPr>
        <w:t>hükümler</w:t>
      </w:r>
      <w:r w:rsidR="0094311B">
        <w:rPr>
          <w:rFonts w:ascii="Times New Roman" w:hAnsi="Times New Roman" w:cs="Times New Roman"/>
          <w:lang w:eastAsia="ja-JP"/>
        </w:rPr>
        <w:t xml:space="preserve"> belirlenmiştir.</w:t>
      </w:r>
    </w:p>
    <w:p w:rsidR="0094311B" w:rsidRDefault="0094311B" w:rsidP="0094311B">
      <w:pPr>
        <w:pStyle w:val="ListParagraph"/>
        <w:numPr>
          <w:ilvl w:val="0"/>
          <w:numId w:val="16"/>
        </w:numPr>
        <w:rPr>
          <w:rFonts w:ascii="Times New Roman" w:hAnsi="Times New Roman" w:cs="Times New Roman"/>
          <w:lang w:eastAsia="ja-JP"/>
        </w:rPr>
      </w:pPr>
      <w:r>
        <w:rPr>
          <w:rFonts w:ascii="Times New Roman" w:hAnsi="Times New Roman" w:cs="Times New Roman"/>
          <w:lang w:eastAsia="ja-JP"/>
        </w:rPr>
        <w:t>Elektronik Bilet</w:t>
      </w:r>
      <w:r w:rsidR="00F25846">
        <w:rPr>
          <w:rFonts w:ascii="Times New Roman" w:hAnsi="Times New Roman" w:cs="Times New Roman"/>
          <w:lang w:eastAsia="ja-JP"/>
        </w:rPr>
        <w:t xml:space="preserve"> Uygulaması</w:t>
      </w:r>
    </w:p>
    <w:p w:rsidR="0094311B" w:rsidRDefault="0094311B" w:rsidP="0094311B">
      <w:pPr>
        <w:pStyle w:val="ListParagraph"/>
        <w:numPr>
          <w:ilvl w:val="1"/>
          <w:numId w:val="16"/>
        </w:numPr>
        <w:rPr>
          <w:rFonts w:ascii="Times New Roman" w:hAnsi="Times New Roman" w:cs="Times New Roman"/>
          <w:lang w:eastAsia="ja-JP"/>
        </w:rPr>
      </w:pPr>
      <w:r>
        <w:rPr>
          <w:rFonts w:ascii="Times New Roman" w:hAnsi="Times New Roman" w:cs="Times New Roman"/>
          <w:lang w:eastAsia="ja-JP"/>
        </w:rPr>
        <w:t>Elektronik bilet düzenlemek isteyen mükelleflere ilişkin aşağıdaki başvuru şartları getirilmiştir:</w:t>
      </w:r>
    </w:p>
    <w:p w:rsidR="0094311B" w:rsidRDefault="0094311B" w:rsidP="0094311B">
      <w:pPr>
        <w:pStyle w:val="ListParagraph"/>
        <w:numPr>
          <w:ilvl w:val="2"/>
          <w:numId w:val="16"/>
        </w:numPr>
        <w:rPr>
          <w:rFonts w:ascii="Times New Roman" w:hAnsi="Times New Roman" w:cs="Times New Roman"/>
          <w:lang w:eastAsia="ja-JP"/>
        </w:rPr>
      </w:pPr>
      <w:r>
        <w:rPr>
          <w:rFonts w:ascii="Times New Roman" w:hAnsi="Times New Roman" w:cs="Times New Roman"/>
          <w:lang w:eastAsia="ja-JP"/>
        </w:rPr>
        <w:t xml:space="preserve">Tüzel kişilerin elektronik fatura </w:t>
      </w:r>
      <w:r w:rsidRPr="0094311B">
        <w:rPr>
          <w:rFonts w:ascii="Times New Roman" w:hAnsi="Times New Roman" w:cs="Times New Roman"/>
          <w:lang w:eastAsia="ja-JP"/>
        </w:rPr>
        <w:t>uygulamasından yararlanma iznine sahip olmaları, gerçek kişi mükelleflerin ise güvenli elektronik imzaya sahip olmaları</w:t>
      </w:r>
      <w:r>
        <w:rPr>
          <w:rFonts w:ascii="Times New Roman" w:hAnsi="Times New Roman" w:cs="Times New Roman"/>
          <w:lang w:eastAsia="ja-JP"/>
        </w:rPr>
        <w:t>,</w:t>
      </w:r>
    </w:p>
    <w:p w:rsidR="0094311B" w:rsidRDefault="0094311B" w:rsidP="0094311B">
      <w:pPr>
        <w:pStyle w:val="ListParagraph"/>
        <w:numPr>
          <w:ilvl w:val="2"/>
          <w:numId w:val="16"/>
        </w:numPr>
        <w:rPr>
          <w:rFonts w:ascii="Times New Roman" w:hAnsi="Times New Roman" w:cs="Times New Roman"/>
          <w:lang w:eastAsia="ja-JP"/>
        </w:rPr>
      </w:pPr>
      <w:r>
        <w:rPr>
          <w:rFonts w:ascii="Times New Roman" w:hAnsi="Times New Roman" w:cs="Times New Roman"/>
          <w:lang w:eastAsia="ja-JP"/>
        </w:rPr>
        <w:t>M</w:t>
      </w:r>
      <w:r w:rsidRPr="0094311B">
        <w:rPr>
          <w:rFonts w:ascii="Times New Roman" w:hAnsi="Times New Roman" w:cs="Times New Roman"/>
          <w:lang w:eastAsia="ja-JP"/>
        </w:rPr>
        <w:t>ükelleflerin elektronik bilet ve elektronik yolcu listesi düzenleme ve elektronik biletleri yolculara sunabilme konusunda hazırlıklarını tamamlamış olmaları</w:t>
      </w:r>
    </w:p>
    <w:p w:rsidR="0094311B" w:rsidRDefault="0094311B" w:rsidP="0094311B">
      <w:pPr>
        <w:pStyle w:val="ListParagraph"/>
        <w:numPr>
          <w:ilvl w:val="2"/>
          <w:numId w:val="16"/>
        </w:numPr>
        <w:rPr>
          <w:rFonts w:ascii="Times New Roman" w:hAnsi="Times New Roman" w:cs="Times New Roman"/>
          <w:lang w:eastAsia="ja-JP"/>
        </w:rPr>
      </w:pPr>
      <w:r>
        <w:rPr>
          <w:rFonts w:ascii="Times New Roman" w:hAnsi="Times New Roman" w:cs="Times New Roman"/>
          <w:lang w:eastAsia="ja-JP"/>
        </w:rPr>
        <w:t>R</w:t>
      </w:r>
      <w:r w:rsidRPr="0094311B">
        <w:rPr>
          <w:rFonts w:ascii="Times New Roman" w:hAnsi="Times New Roman" w:cs="Times New Roman"/>
          <w:lang w:eastAsia="ja-JP"/>
        </w:rPr>
        <w:t>aporlama ihtiyaçlarının karşılanması hususunda gerekli altyapı ve hazırlıklarını tamamlamış olmalar</w:t>
      </w:r>
      <w:r>
        <w:rPr>
          <w:rFonts w:ascii="Times New Roman" w:hAnsi="Times New Roman" w:cs="Times New Roman"/>
          <w:lang w:eastAsia="ja-JP"/>
        </w:rPr>
        <w:t>ı</w:t>
      </w:r>
    </w:p>
    <w:p w:rsidR="0094311B" w:rsidRDefault="0094311B" w:rsidP="0094311B">
      <w:pPr>
        <w:pStyle w:val="ListParagraph"/>
        <w:numPr>
          <w:ilvl w:val="1"/>
          <w:numId w:val="16"/>
        </w:numPr>
        <w:rPr>
          <w:rFonts w:ascii="Times New Roman" w:hAnsi="Times New Roman" w:cs="Times New Roman"/>
          <w:lang w:eastAsia="ja-JP"/>
        </w:rPr>
      </w:pPr>
      <w:r>
        <w:rPr>
          <w:rFonts w:ascii="Times New Roman" w:hAnsi="Times New Roman" w:cs="Times New Roman"/>
          <w:lang w:eastAsia="ja-JP"/>
        </w:rPr>
        <w:t>Tüm başvurular gerekli belgelerle beraber Gelir İdaresi Başkanlığı’na yapılmalıdır.</w:t>
      </w:r>
    </w:p>
    <w:p w:rsidR="0094311B" w:rsidRDefault="0094311B" w:rsidP="0094311B">
      <w:pPr>
        <w:pStyle w:val="ListParagraph"/>
        <w:numPr>
          <w:ilvl w:val="1"/>
          <w:numId w:val="16"/>
        </w:numPr>
        <w:rPr>
          <w:rFonts w:ascii="Times New Roman" w:hAnsi="Times New Roman" w:cs="Times New Roman"/>
          <w:lang w:eastAsia="ja-JP"/>
        </w:rPr>
      </w:pPr>
      <w:r>
        <w:rPr>
          <w:rFonts w:ascii="Times New Roman" w:hAnsi="Times New Roman" w:cs="Times New Roman"/>
          <w:lang w:eastAsia="ja-JP"/>
        </w:rPr>
        <w:t xml:space="preserve">Ayrıca biletlerin ve elektronik yolcu listesinin düzenlenmesi, içeriği ve numaralandırılmasına ilişkin esaslar ile muhafaza ve ibraz yükümlülüğü de 415 </w:t>
      </w:r>
      <w:proofErr w:type="spellStart"/>
      <w:r>
        <w:rPr>
          <w:rFonts w:ascii="Times New Roman" w:hAnsi="Times New Roman" w:cs="Times New Roman"/>
          <w:lang w:eastAsia="ja-JP"/>
        </w:rPr>
        <w:t>no’lu</w:t>
      </w:r>
      <w:proofErr w:type="spellEnd"/>
      <w:r>
        <w:rPr>
          <w:rFonts w:ascii="Times New Roman" w:hAnsi="Times New Roman" w:cs="Times New Roman"/>
          <w:lang w:eastAsia="ja-JP"/>
        </w:rPr>
        <w:t xml:space="preserve"> tebliğ çerçevesinde getirilmiştir.</w:t>
      </w:r>
    </w:p>
    <w:p w:rsidR="0094311B" w:rsidRDefault="0094311B" w:rsidP="0094311B">
      <w:pPr>
        <w:pStyle w:val="ListParagraph"/>
        <w:numPr>
          <w:ilvl w:val="1"/>
          <w:numId w:val="16"/>
        </w:numPr>
        <w:rPr>
          <w:rFonts w:ascii="Times New Roman" w:hAnsi="Times New Roman" w:cs="Times New Roman"/>
          <w:lang w:eastAsia="ja-JP"/>
        </w:rPr>
      </w:pPr>
      <w:r w:rsidRPr="0094311B">
        <w:rPr>
          <w:rFonts w:ascii="Times New Roman" w:hAnsi="Times New Roman" w:cs="Times New Roman"/>
          <w:lang w:eastAsia="ja-JP"/>
        </w:rPr>
        <w:t xml:space="preserve">Vergi mükellefleri tarafından, elektronik bilet düzenleme izni alan seyahat </w:t>
      </w:r>
      <w:r>
        <w:rPr>
          <w:rFonts w:ascii="Times New Roman" w:hAnsi="Times New Roman" w:cs="Times New Roman"/>
          <w:lang w:eastAsia="ja-JP"/>
        </w:rPr>
        <w:t xml:space="preserve">firmaları elektronik biletleri belirli şartlar </w:t>
      </w:r>
      <w:proofErr w:type="gramStart"/>
      <w:r>
        <w:rPr>
          <w:rFonts w:ascii="Times New Roman" w:hAnsi="Times New Roman" w:cs="Times New Roman"/>
          <w:lang w:eastAsia="ja-JP"/>
        </w:rPr>
        <w:t>dahilinde</w:t>
      </w:r>
      <w:proofErr w:type="gramEnd"/>
      <w:r>
        <w:rPr>
          <w:rFonts w:ascii="Times New Roman" w:hAnsi="Times New Roman" w:cs="Times New Roman"/>
          <w:lang w:eastAsia="ja-JP"/>
        </w:rPr>
        <w:t xml:space="preserve"> </w:t>
      </w:r>
      <w:r w:rsidRPr="0094311B">
        <w:rPr>
          <w:rFonts w:ascii="Times New Roman" w:hAnsi="Times New Roman" w:cs="Times New Roman"/>
          <w:u w:val="single"/>
          <w:lang w:eastAsia="ja-JP"/>
        </w:rPr>
        <w:t>gider gösterilebilecek veya indirime konu edilebilecektir</w:t>
      </w:r>
      <w:r w:rsidRPr="0094311B">
        <w:rPr>
          <w:rFonts w:ascii="Times New Roman" w:hAnsi="Times New Roman" w:cs="Times New Roman"/>
          <w:lang w:eastAsia="ja-JP"/>
        </w:rPr>
        <w:t xml:space="preserve">. </w:t>
      </w:r>
    </w:p>
    <w:p w:rsidR="0094311B" w:rsidRDefault="0094311B" w:rsidP="0094311B">
      <w:pPr>
        <w:pStyle w:val="ListParagraph"/>
        <w:numPr>
          <w:ilvl w:val="1"/>
          <w:numId w:val="16"/>
        </w:numPr>
        <w:rPr>
          <w:rFonts w:ascii="Times New Roman" w:hAnsi="Times New Roman" w:cs="Times New Roman"/>
          <w:lang w:eastAsia="ja-JP"/>
        </w:rPr>
      </w:pPr>
      <w:r w:rsidRPr="0094311B">
        <w:rPr>
          <w:rFonts w:ascii="Times New Roman" w:hAnsi="Times New Roman" w:cs="Times New Roman"/>
          <w:lang w:eastAsia="ja-JP"/>
        </w:rPr>
        <w:t>Bu biletler tutarına bakılmaksızın fatura yerine geçen belge olarak kabul edilecektir.</w:t>
      </w:r>
    </w:p>
    <w:p w:rsidR="0094311B" w:rsidRDefault="0094311B" w:rsidP="0094311B">
      <w:pPr>
        <w:pStyle w:val="ListParagraph"/>
        <w:numPr>
          <w:ilvl w:val="0"/>
          <w:numId w:val="16"/>
        </w:numPr>
        <w:rPr>
          <w:rFonts w:ascii="Times New Roman" w:hAnsi="Times New Roman" w:cs="Times New Roman"/>
          <w:lang w:eastAsia="ja-JP"/>
        </w:rPr>
      </w:pPr>
      <w:r>
        <w:rPr>
          <w:rFonts w:ascii="Times New Roman" w:hAnsi="Times New Roman" w:cs="Times New Roman"/>
          <w:lang w:eastAsia="ja-JP"/>
        </w:rPr>
        <w:t>E-Fatura</w:t>
      </w:r>
      <w:r w:rsidR="00F25846">
        <w:rPr>
          <w:rFonts w:ascii="Times New Roman" w:hAnsi="Times New Roman" w:cs="Times New Roman"/>
          <w:lang w:eastAsia="ja-JP"/>
        </w:rPr>
        <w:t xml:space="preserve"> Uygulaması</w:t>
      </w:r>
    </w:p>
    <w:p w:rsidR="0094311B" w:rsidRDefault="0094311B" w:rsidP="0094311B">
      <w:pPr>
        <w:pStyle w:val="ListParagraph"/>
        <w:numPr>
          <w:ilvl w:val="1"/>
          <w:numId w:val="16"/>
        </w:numPr>
        <w:rPr>
          <w:rFonts w:ascii="Times New Roman" w:hAnsi="Times New Roman" w:cs="Times New Roman"/>
          <w:lang w:eastAsia="ja-JP"/>
        </w:rPr>
      </w:pPr>
      <w:r>
        <w:rPr>
          <w:rFonts w:ascii="Times New Roman" w:hAnsi="Times New Roman" w:cs="Times New Roman"/>
          <w:lang w:eastAsia="ja-JP"/>
        </w:rPr>
        <w:t xml:space="preserve">E-fatura uygulamasından yararlanmak </w:t>
      </w:r>
      <w:r w:rsidR="00F25846">
        <w:rPr>
          <w:rFonts w:ascii="Times New Roman" w:hAnsi="Times New Roman" w:cs="Times New Roman"/>
          <w:lang w:eastAsia="ja-JP"/>
        </w:rPr>
        <w:t xml:space="preserve">isteyen mükelleflerin yerine getirmeleri gerekenler 416 </w:t>
      </w:r>
      <w:proofErr w:type="spellStart"/>
      <w:r w:rsidR="00F25846">
        <w:rPr>
          <w:rFonts w:ascii="Times New Roman" w:hAnsi="Times New Roman" w:cs="Times New Roman"/>
          <w:lang w:eastAsia="ja-JP"/>
        </w:rPr>
        <w:t>no’lu</w:t>
      </w:r>
      <w:proofErr w:type="spellEnd"/>
      <w:r w:rsidR="00F25846">
        <w:rPr>
          <w:rFonts w:ascii="Times New Roman" w:hAnsi="Times New Roman" w:cs="Times New Roman"/>
          <w:lang w:eastAsia="ja-JP"/>
        </w:rPr>
        <w:t xml:space="preserve"> Tebliğ’de açıklanmıştır.</w:t>
      </w:r>
    </w:p>
    <w:p w:rsidR="00F25846" w:rsidRDefault="00F25846" w:rsidP="00F25846">
      <w:pPr>
        <w:pStyle w:val="ListParagraph"/>
        <w:numPr>
          <w:ilvl w:val="0"/>
          <w:numId w:val="16"/>
        </w:numPr>
        <w:rPr>
          <w:rFonts w:ascii="Times New Roman" w:hAnsi="Times New Roman" w:cs="Times New Roman"/>
          <w:lang w:eastAsia="ja-JP"/>
        </w:rPr>
      </w:pPr>
      <w:r>
        <w:rPr>
          <w:rFonts w:ascii="Times New Roman" w:hAnsi="Times New Roman" w:cs="Times New Roman"/>
          <w:lang w:eastAsia="ja-JP"/>
        </w:rPr>
        <w:t>Vergi Borçluları</w:t>
      </w:r>
    </w:p>
    <w:p w:rsidR="00F25846" w:rsidRDefault="00F25846" w:rsidP="00F25846">
      <w:pPr>
        <w:pStyle w:val="ListParagraph"/>
        <w:numPr>
          <w:ilvl w:val="1"/>
          <w:numId w:val="16"/>
        </w:numPr>
        <w:rPr>
          <w:rFonts w:ascii="Times New Roman" w:hAnsi="Times New Roman" w:cs="Times New Roman"/>
          <w:lang w:eastAsia="ja-JP"/>
        </w:rPr>
      </w:pPr>
      <w:proofErr w:type="spellStart"/>
      <w:r>
        <w:rPr>
          <w:rFonts w:ascii="Times New Roman" w:hAnsi="Times New Roman" w:cs="Times New Roman"/>
          <w:lang w:eastAsia="ja-JP"/>
        </w:rPr>
        <w:t>İ</w:t>
      </w:r>
      <w:r w:rsidRPr="00F25846">
        <w:rPr>
          <w:rFonts w:ascii="Times New Roman" w:hAnsi="Times New Roman" w:cs="Times New Roman"/>
          <w:lang w:eastAsia="ja-JP"/>
        </w:rPr>
        <w:t>kmalen</w:t>
      </w:r>
      <w:proofErr w:type="spellEnd"/>
      <w:r w:rsidRPr="00F25846">
        <w:rPr>
          <w:rFonts w:ascii="Times New Roman" w:hAnsi="Times New Roman" w:cs="Times New Roman"/>
          <w:lang w:eastAsia="ja-JP"/>
        </w:rPr>
        <w:t xml:space="preserve">, </w:t>
      </w:r>
      <w:proofErr w:type="spellStart"/>
      <w:r w:rsidRPr="00F25846">
        <w:rPr>
          <w:rFonts w:ascii="Times New Roman" w:hAnsi="Times New Roman" w:cs="Times New Roman"/>
          <w:lang w:eastAsia="ja-JP"/>
        </w:rPr>
        <w:t>re'sen</w:t>
      </w:r>
      <w:proofErr w:type="spellEnd"/>
      <w:r w:rsidRPr="00F25846">
        <w:rPr>
          <w:rFonts w:ascii="Times New Roman" w:hAnsi="Times New Roman" w:cs="Times New Roman"/>
          <w:lang w:eastAsia="ja-JP"/>
        </w:rPr>
        <w:t xml:space="preserve"> veya idarece yapılan tarhiyatlar dolayısıyla kesinleşen vergi ve cezalar ile vadesi geçtiği halde ödenmemiş vergi ve cezaların açıklanmasına ilişkin usuller</w:t>
      </w:r>
      <w:r>
        <w:rPr>
          <w:rFonts w:ascii="Times New Roman" w:hAnsi="Times New Roman" w:cs="Times New Roman"/>
          <w:lang w:eastAsia="ja-JP"/>
        </w:rPr>
        <w:t xml:space="preserve"> 417 </w:t>
      </w:r>
      <w:proofErr w:type="spellStart"/>
      <w:r>
        <w:rPr>
          <w:rFonts w:ascii="Times New Roman" w:hAnsi="Times New Roman" w:cs="Times New Roman"/>
          <w:lang w:eastAsia="ja-JP"/>
        </w:rPr>
        <w:t>no’lu</w:t>
      </w:r>
      <w:proofErr w:type="spellEnd"/>
      <w:r>
        <w:rPr>
          <w:rFonts w:ascii="Times New Roman" w:hAnsi="Times New Roman" w:cs="Times New Roman"/>
          <w:lang w:eastAsia="ja-JP"/>
        </w:rPr>
        <w:t xml:space="preserve"> </w:t>
      </w:r>
      <w:r>
        <w:rPr>
          <w:rFonts w:ascii="Times New Roman" w:hAnsi="Times New Roman" w:cs="Times New Roman"/>
          <w:lang w:eastAsia="ja-JP"/>
        </w:rPr>
        <w:lastRenderedPageBreak/>
        <w:t xml:space="preserve">Tebliğ ile belirlenmiştir. </w:t>
      </w:r>
      <w:r w:rsidRPr="00F25846">
        <w:rPr>
          <w:rFonts w:ascii="Times New Roman" w:hAnsi="Times New Roman" w:cs="Times New Roman"/>
          <w:lang w:eastAsia="ja-JP"/>
        </w:rPr>
        <w:t>6111 sayılı Kanun hükümlerine göre yapılandırılan</w:t>
      </w:r>
      <w:r>
        <w:rPr>
          <w:rFonts w:ascii="Times New Roman" w:hAnsi="Times New Roman" w:cs="Times New Roman"/>
          <w:lang w:eastAsia="ja-JP"/>
        </w:rPr>
        <w:t xml:space="preserve"> borçlar söz konusu Tebliğ kapsamına girmemekte olup borçlular hakkında herhangi bir açıklama yapılmayacaktır.</w:t>
      </w:r>
    </w:p>
    <w:p w:rsidR="001715D1" w:rsidRDefault="001715D1" w:rsidP="001715D1">
      <w:pPr>
        <w:pStyle w:val="ListParagraph"/>
        <w:ind w:left="360"/>
        <w:rPr>
          <w:rFonts w:ascii="Times New Roman" w:hAnsi="Times New Roman" w:cs="Times New Roman"/>
          <w:lang w:eastAsia="ja-JP"/>
        </w:rPr>
      </w:pPr>
    </w:p>
    <w:p w:rsidR="001715D1" w:rsidRPr="0094311B" w:rsidRDefault="001715D1" w:rsidP="001715D1">
      <w:pPr>
        <w:pStyle w:val="ListParagraph"/>
        <w:ind w:left="360"/>
        <w:rPr>
          <w:rFonts w:ascii="Times New Roman" w:hAnsi="Times New Roman" w:cs="Times New Roman"/>
          <w:lang w:eastAsia="ja-JP"/>
        </w:rPr>
      </w:pPr>
    </w:p>
    <w:bookmarkEnd w:id="0"/>
    <w:p w:rsidR="001E12C6" w:rsidRPr="001E12C6" w:rsidRDefault="001E12C6" w:rsidP="001E12C6">
      <w:pPr>
        <w:rPr>
          <w:rFonts w:ascii="Times New Roman" w:hAnsi="Times New Roman" w:cs="Times New Roman"/>
          <w:lang w:eastAsia="ja-JP"/>
        </w:rPr>
      </w:pPr>
    </w:p>
    <w:sectPr w:rsidR="001E12C6" w:rsidRPr="001E1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11"/>
  </w:num>
  <w:num w:numId="3">
    <w:abstractNumId w:val="8"/>
  </w:num>
  <w:num w:numId="4">
    <w:abstractNumId w:val="2"/>
  </w:num>
  <w:num w:numId="5">
    <w:abstractNumId w:val="4"/>
  </w:num>
  <w:num w:numId="6">
    <w:abstractNumId w:val="5"/>
  </w:num>
  <w:num w:numId="7">
    <w:abstractNumId w:val="3"/>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0"/>
  </w:num>
  <w:num w:numId="13">
    <w:abstractNumId w:val="1"/>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875DE"/>
    <w:rsid w:val="000C00F9"/>
    <w:rsid w:val="001715D1"/>
    <w:rsid w:val="001A2CF6"/>
    <w:rsid w:val="001A5E50"/>
    <w:rsid w:val="001D4E07"/>
    <w:rsid w:val="001E12C6"/>
    <w:rsid w:val="00217DF3"/>
    <w:rsid w:val="00247E15"/>
    <w:rsid w:val="00261647"/>
    <w:rsid w:val="00276B44"/>
    <w:rsid w:val="002E4631"/>
    <w:rsid w:val="00304985"/>
    <w:rsid w:val="00314250"/>
    <w:rsid w:val="003343C7"/>
    <w:rsid w:val="00334FEB"/>
    <w:rsid w:val="00340FA1"/>
    <w:rsid w:val="00363721"/>
    <w:rsid w:val="003642B5"/>
    <w:rsid w:val="00367E70"/>
    <w:rsid w:val="003A2A8F"/>
    <w:rsid w:val="003A5323"/>
    <w:rsid w:val="003B2991"/>
    <w:rsid w:val="003D418D"/>
    <w:rsid w:val="003E0E76"/>
    <w:rsid w:val="00403209"/>
    <w:rsid w:val="00404D5E"/>
    <w:rsid w:val="00437188"/>
    <w:rsid w:val="00465811"/>
    <w:rsid w:val="00482BF1"/>
    <w:rsid w:val="00514B59"/>
    <w:rsid w:val="00537C03"/>
    <w:rsid w:val="0054054D"/>
    <w:rsid w:val="0054396F"/>
    <w:rsid w:val="00567821"/>
    <w:rsid w:val="0058328B"/>
    <w:rsid w:val="005D0BE3"/>
    <w:rsid w:val="00607AF0"/>
    <w:rsid w:val="00643897"/>
    <w:rsid w:val="006A4B28"/>
    <w:rsid w:val="00730C3E"/>
    <w:rsid w:val="00777C75"/>
    <w:rsid w:val="00794604"/>
    <w:rsid w:val="007A0F57"/>
    <w:rsid w:val="007A5F1B"/>
    <w:rsid w:val="007D60E1"/>
    <w:rsid w:val="007D7FC8"/>
    <w:rsid w:val="007E27E1"/>
    <w:rsid w:val="007E40F0"/>
    <w:rsid w:val="008045F7"/>
    <w:rsid w:val="008A5BFD"/>
    <w:rsid w:val="008D4477"/>
    <w:rsid w:val="0094311B"/>
    <w:rsid w:val="00994CE3"/>
    <w:rsid w:val="009C789A"/>
    <w:rsid w:val="00A039D9"/>
    <w:rsid w:val="00A117F8"/>
    <w:rsid w:val="00A232B0"/>
    <w:rsid w:val="00A46E5C"/>
    <w:rsid w:val="00A8305E"/>
    <w:rsid w:val="00AE48EF"/>
    <w:rsid w:val="00AF7951"/>
    <w:rsid w:val="00B034F8"/>
    <w:rsid w:val="00B10C50"/>
    <w:rsid w:val="00B55476"/>
    <w:rsid w:val="00B85EC7"/>
    <w:rsid w:val="00B953BE"/>
    <w:rsid w:val="00BC55F2"/>
    <w:rsid w:val="00BF1D74"/>
    <w:rsid w:val="00C127C8"/>
    <w:rsid w:val="00C205B9"/>
    <w:rsid w:val="00C66262"/>
    <w:rsid w:val="00C865B8"/>
    <w:rsid w:val="00CF5100"/>
    <w:rsid w:val="00D03CEA"/>
    <w:rsid w:val="00D0466A"/>
    <w:rsid w:val="00D13666"/>
    <w:rsid w:val="00D773D6"/>
    <w:rsid w:val="00D85B4F"/>
    <w:rsid w:val="00DB06EB"/>
    <w:rsid w:val="00DB2862"/>
    <w:rsid w:val="00E95686"/>
    <w:rsid w:val="00EF478B"/>
    <w:rsid w:val="00F04664"/>
    <w:rsid w:val="00F056AB"/>
    <w:rsid w:val="00F2259C"/>
    <w:rsid w:val="00F25846"/>
    <w:rsid w:val="00F4367C"/>
    <w:rsid w:val="00F60EAB"/>
    <w:rsid w:val="00F97F08"/>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6955-7F9D-4BF6-BF95-7C18B81F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CeydaE</cp:lastModifiedBy>
  <cp:revision>6</cp:revision>
  <dcterms:created xsi:type="dcterms:W3CDTF">2012-06-28T11:06:00Z</dcterms:created>
  <dcterms:modified xsi:type="dcterms:W3CDTF">2012-06-29T11:34:00Z</dcterms:modified>
</cp:coreProperties>
</file>