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ED" w:rsidRDefault="00B50FED" w:rsidP="00B50FED">
      <w:pPr>
        <w:pStyle w:val="Balk1"/>
        <w:keepNext/>
        <w:spacing w:before="240" w:line="252" w:lineRule="auto"/>
        <w:rPr>
          <w:rFonts w:ascii="Times New Roman" w:eastAsia="Times New Roman" w:hAnsi="Times New Roman" w:cs="Times New Roman"/>
          <w:b/>
          <w:bCs/>
          <w:color w:val="548DD4"/>
          <w:sz w:val="26"/>
          <w:szCs w:val="26"/>
        </w:rPr>
      </w:pPr>
      <w:r>
        <w:rPr>
          <w:rFonts w:ascii="Times New Roman" w:eastAsia="Times New Roman" w:hAnsi="Times New Roman" w:cs="Times New Roman"/>
          <w:b/>
          <w:bCs/>
          <w:color w:val="548DD4"/>
          <w:sz w:val="26"/>
          <w:szCs w:val="26"/>
        </w:rPr>
        <w:t>7</w:t>
      </w:r>
      <w:bookmarkStart w:id="0" w:name="_GoBack"/>
      <w:bookmarkEnd w:id="0"/>
      <w:r>
        <w:rPr>
          <w:rFonts w:ascii="Times New Roman" w:eastAsia="Times New Roman" w:hAnsi="Times New Roman" w:cs="Times New Roman"/>
          <w:b/>
          <w:bCs/>
          <w:color w:val="548DD4"/>
          <w:sz w:val="26"/>
          <w:szCs w:val="26"/>
        </w:rPr>
        <w:t>144 sayılı Bazı Kanunlarda Değişiklik Yapılması Hakkında Kanun</w:t>
      </w:r>
    </w:p>
    <w:p w:rsidR="00B50FED" w:rsidRDefault="00B50FED" w:rsidP="00B50FED">
      <w:pPr>
        <w:rPr>
          <w:rFonts w:ascii="Times New Roman" w:hAnsi="Times New Roman" w:cs="Times New Roman"/>
          <w:b/>
          <w:bCs/>
          <w:color w:val="548DD4"/>
          <w:sz w:val="26"/>
          <w:szCs w:val="26"/>
        </w:rPr>
      </w:pPr>
    </w:p>
    <w:p w:rsidR="00B50FED" w:rsidRDefault="00B50FED" w:rsidP="00B50FED">
      <w:pPr>
        <w:spacing w:line="280" w:lineRule="atLeast"/>
        <w:jc w:val="both"/>
        <w:rPr>
          <w:rFonts w:ascii="Times New Roman" w:hAnsi="Times New Roman" w:cs="Times New Roman"/>
        </w:rPr>
      </w:pPr>
      <w:r>
        <w:rPr>
          <w:rFonts w:ascii="Times New Roman" w:hAnsi="Times New Roman" w:cs="Times New Roman"/>
        </w:rPr>
        <w:t xml:space="preserve">25.05.2018 tarih 30431 sayılı Resmi </w:t>
      </w:r>
      <w:proofErr w:type="spellStart"/>
      <w:r>
        <w:rPr>
          <w:rFonts w:ascii="Times New Roman" w:hAnsi="Times New Roman" w:cs="Times New Roman"/>
        </w:rPr>
        <w:t>Gazete’de</w:t>
      </w:r>
      <w:proofErr w:type="spellEnd"/>
      <w:r>
        <w:rPr>
          <w:rFonts w:ascii="Times New Roman" w:hAnsi="Times New Roman" w:cs="Times New Roman"/>
        </w:rPr>
        <w:t xml:space="preserve"> 7144 sayılı “Bazı Kanunlarda Değişiklik Yapılması Hakkında Kanun” yayımlanmış olup Vergi Usul Kanunu’nda önemli değişiklikler yapılmıştır.</w:t>
      </w:r>
    </w:p>
    <w:p w:rsidR="00B50FED" w:rsidRDefault="00B50FED" w:rsidP="00B50FED">
      <w:pPr>
        <w:spacing w:line="280" w:lineRule="atLeast"/>
        <w:jc w:val="both"/>
        <w:rPr>
          <w:rFonts w:ascii="Times New Roman" w:hAnsi="Times New Roman" w:cs="Times New Roman"/>
        </w:rPr>
      </w:pPr>
    </w:p>
    <w:p w:rsidR="00B50FED" w:rsidRDefault="00B50FED" w:rsidP="00B50FED">
      <w:pPr>
        <w:spacing w:line="280" w:lineRule="atLeast"/>
        <w:jc w:val="both"/>
        <w:rPr>
          <w:rFonts w:ascii="Times New Roman" w:hAnsi="Times New Roman" w:cs="Times New Roman"/>
        </w:rPr>
      </w:pPr>
      <w:r>
        <w:rPr>
          <w:rFonts w:ascii="Times New Roman" w:hAnsi="Times New Roman" w:cs="Times New Roman"/>
        </w:rPr>
        <w:t>Başlıca değişiklikler şöyledir;</w:t>
      </w:r>
    </w:p>
    <w:p w:rsidR="00B50FED" w:rsidRDefault="00B50FED" w:rsidP="00B50FED">
      <w:pPr>
        <w:spacing w:line="280" w:lineRule="atLeast"/>
        <w:jc w:val="both"/>
        <w:rPr>
          <w:rFonts w:ascii="Times New Roman" w:hAnsi="Times New Roman" w:cs="Times New Roman"/>
        </w:rPr>
      </w:pP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 xml:space="preserve">Aktiflerine kayıtlı bulunan taşınmazlarını değerleyebilecek kişiler, tam mükellefiyete tabi ve bilanço esasına göre defter tutan gelir ve kurumlar vergisi mükellefleri olup, finans ve bankacılık sektöründe faaliyet gösterenler, sigorta ve reasürans şirketleri, emeklilik şirketleri ve emeklilik yatırım fonları, münhasıran sürekli olarak işlenmiş altın, gümüş alım-satımı ve imali ile iştigal eden mükellefler ile kendilerine kayıtlarını Türk para birimi dışında başka bir para birimiyle tutmalarına izin verilenler (VUK </w:t>
      </w:r>
      <w:proofErr w:type="spellStart"/>
      <w:r>
        <w:rPr>
          <w:rFonts w:ascii="Times New Roman" w:eastAsia="Times New Roman" w:hAnsi="Times New Roman" w:cs="Times New Roman"/>
        </w:rPr>
        <w:t>md.</w:t>
      </w:r>
      <w:proofErr w:type="spellEnd"/>
      <w:r>
        <w:rPr>
          <w:rFonts w:ascii="Times New Roman" w:eastAsia="Times New Roman" w:hAnsi="Times New Roman" w:cs="Times New Roman"/>
        </w:rPr>
        <w:t xml:space="preserve"> 215) bu imkandan yararlanamayacaklardır.</w:t>
      </w:r>
    </w:p>
    <w:p w:rsidR="00B50FED" w:rsidRDefault="00B50FED" w:rsidP="00B50FED">
      <w:pPr>
        <w:numPr>
          <w:ilvl w:val="0"/>
          <w:numId w:val="1"/>
        </w:numPr>
        <w:spacing w:line="280" w:lineRule="atLeast"/>
        <w:jc w:val="both"/>
        <w:rPr>
          <w:rFonts w:ascii="Times New Roman" w:eastAsia="Times New Roman" w:hAnsi="Times New Roman" w:cs="Times New Roman"/>
        </w:rPr>
      </w:pPr>
      <w:r>
        <w:rPr>
          <w:rFonts w:ascii="Times New Roman" w:eastAsia="Times New Roman" w:hAnsi="Times New Roman" w:cs="Times New Roman"/>
        </w:rPr>
        <w:t>Yeniden değerleme işlemi, 25 Mayıs 2018 tarihi itibariyle yapılacak olup, 30 Eylül 2018 tarihine kadar yeniden değerleyebileceklerdir.</w:t>
      </w:r>
    </w:p>
    <w:p w:rsidR="00B50FED" w:rsidRDefault="00B50FED" w:rsidP="00B50FED">
      <w:pPr>
        <w:pStyle w:val="ListeParagraf"/>
        <w:rPr>
          <w:rFonts w:ascii="Times New Roman" w:hAnsi="Times New Roman" w:cs="Times New Roman"/>
        </w:rPr>
      </w:pPr>
    </w:p>
    <w:p w:rsidR="00B50FED" w:rsidRDefault="00B50FED" w:rsidP="00B50FED">
      <w:pPr>
        <w:numPr>
          <w:ilvl w:val="0"/>
          <w:numId w:val="1"/>
        </w:numPr>
        <w:spacing w:line="280" w:lineRule="atLeast"/>
        <w:jc w:val="both"/>
        <w:rPr>
          <w:rFonts w:ascii="Times New Roman" w:eastAsia="Times New Roman" w:hAnsi="Times New Roman" w:cs="Times New Roman"/>
        </w:rPr>
      </w:pPr>
      <w:r>
        <w:rPr>
          <w:rFonts w:ascii="Times New Roman" w:eastAsia="Times New Roman" w:hAnsi="Times New Roman" w:cs="Times New Roman"/>
        </w:rPr>
        <w:t>Yeniden değerleme işlemi kapsamına, aktiflerine kayıtlı bulunan taşınmazları konu edilmiş ancak sat-kirala-geri al işlemine veya kira sertifikası ihracına konu edilen taşınmazlar dahil edilmemiştir.</w:t>
      </w:r>
    </w:p>
    <w:p w:rsidR="00B50FED" w:rsidRDefault="00B50FED" w:rsidP="00B50FED">
      <w:pPr>
        <w:pStyle w:val="ListeParagraf"/>
        <w:rPr>
          <w:rFonts w:ascii="Times New Roman" w:hAnsi="Times New Roman" w:cs="Times New Roman"/>
        </w:rPr>
      </w:pPr>
    </w:p>
    <w:p w:rsidR="00B50FED" w:rsidRDefault="00B50FED" w:rsidP="00B50FED">
      <w:pPr>
        <w:numPr>
          <w:ilvl w:val="0"/>
          <w:numId w:val="1"/>
        </w:numPr>
        <w:spacing w:line="280" w:lineRule="atLeast"/>
        <w:jc w:val="both"/>
        <w:rPr>
          <w:rFonts w:ascii="Times New Roman" w:eastAsia="Times New Roman" w:hAnsi="Times New Roman" w:cs="Times New Roman"/>
        </w:rPr>
      </w:pPr>
      <w:r>
        <w:rPr>
          <w:rFonts w:ascii="Times New Roman" w:eastAsia="Times New Roman" w:hAnsi="Times New Roman" w:cs="Times New Roman"/>
        </w:rPr>
        <w:t>Yeniden değerlemede, taşınmazların ve bunlara ait amortismanların, 25 Mayıs 2018 tarihi itibarıyla yasal defter kayıtlarında yer alan değerleri dikkate alınır.</w:t>
      </w:r>
    </w:p>
    <w:p w:rsidR="00B50FED" w:rsidRDefault="00B50FED" w:rsidP="00B50FED">
      <w:pPr>
        <w:spacing w:line="280" w:lineRule="atLeast"/>
        <w:jc w:val="both"/>
        <w:rPr>
          <w:rFonts w:ascii="Times New Roman" w:hAnsi="Times New Roman" w:cs="Times New Roman"/>
        </w:rPr>
      </w:pP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 xml:space="preserve">Yeniden değerleme neticesinde taşınmazların değerinde meydana gelecek değer artışı, yeniden değerlemeye tabi tutulan taşınmazların her birine isabet eden değer artışları ayrıntılı olarak gösterilecek şekilde, bilançonun pasifinde özel bir fon hesabında gösterilir. </w:t>
      </w:r>
    </w:p>
    <w:p w:rsidR="00B50FED" w:rsidRDefault="00B50FED" w:rsidP="00B50FED">
      <w:pPr>
        <w:pStyle w:val="ListeParagraf"/>
        <w:rPr>
          <w:rFonts w:ascii="Times New Roman" w:hAnsi="Times New Roman" w:cs="Times New Roman"/>
        </w:rPr>
      </w:pP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Değer artışı, taşınmazların yeniden değerleme sonrası ve yeniden değerleme öncesi net bilanço aktif değerleri arasındaki farktır. Net bilanço aktif değeri ise, taşınmazların bilançonun aktifinde yazılı değerlerinden, pasifte yazılı amortismanların tenzili suretiyle bulunan değeri ifade etmektedir.</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Yapılan yeniden değerleme sonrasında bulunan değerleri üzerinden amortismana tabi tutmaya devam ederler.</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Pasifte özel bir fon hesabında gösterilen değer artışı tutarı üzerinden % 5 oranında vergi hesaplanması gerekmektedir.</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Bu vergi, yeniden değerleme işleminin yapıldığı tarihi izleyen ayın 25. günü akşamına kadar bir beyanname ile gelir veya kurumlar vergisi yönünden bağlı olunan vergi dairesine beyan edilir ve aynı süre içerisinde ödenir.</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Ödenen vergi; gelir ve kurumlar vergisinden mahsup edilmez, gelir ve kurumlar vergisi matrahının tespitinde gider olarak kabul edilmez.</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Beyanın zamanında yapılmaması ya da tahakkuk eden verginin süresinde ödenmemesi halinde bu madde hükümlerinden faydalanılamaz.</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Pasifte özel bir fon hesabında gösterilen değer artışı tutarının sermayeye ilave edilmesi mümkündür. Bunun dışında söz konusu fonun herhangi bir şekilde başka bir hesaba nakledilen veya işletmeden çekilen kısmı, bu işlemin yapıldığı dönem kazancı ile ilişkilendirilmeksizin bu dönemde gelir veya kurumlar vergisine tabi tutulur.</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lastRenderedPageBreak/>
        <w:t>Yeniden değerlemeye tabi tutulan taşınmazların elden çıkarılması halinde, pasifte özel bir fon hesabında gösterilen değer artışları, kazancın tespitinde dikkate alınmaz.</w:t>
      </w:r>
    </w:p>
    <w:p w:rsidR="00B50FED" w:rsidRDefault="00B50FED" w:rsidP="00B50FED">
      <w:pPr>
        <w:numPr>
          <w:ilvl w:val="0"/>
          <w:numId w:val="1"/>
        </w:numPr>
        <w:spacing w:after="143"/>
        <w:rPr>
          <w:rFonts w:ascii="Times New Roman" w:eastAsia="Times New Roman" w:hAnsi="Times New Roman" w:cs="Times New Roman"/>
        </w:rPr>
      </w:pPr>
      <w:r>
        <w:rPr>
          <w:rFonts w:ascii="Times New Roman" w:eastAsia="Times New Roman" w:hAnsi="Times New Roman" w:cs="Times New Roman"/>
        </w:rPr>
        <w:t>Kanun, yayım tarihinde olan 25.05.2018’de yürürlüğe girmiştir.</w:t>
      </w:r>
    </w:p>
    <w:p w:rsidR="00B50FED" w:rsidRDefault="00B50FED" w:rsidP="00B50FED">
      <w:pPr>
        <w:spacing w:after="143"/>
        <w:rPr>
          <w:rFonts w:ascii="Times New Roman" w:hAnsi="Times New Roman" w:cs="Times New Roman"/>
        </w:rPr>
      </w:pPr>
    </w:p>
    <w:p w:rsidR="00B50FED" w:rsidRDefault="00B50FED" w:rsidP="00B50FED">
      <w:pPr>
        <w:spacing w:after="143"/>
        <w:rPr>
          <w:rFonts w:ascii="Times New Roman" w:hAnsi="Times New Roman" w:cs="Times New Roman"/>
        </w:rPr>
      </w:pPr>
      <w:r>
        <w:rPr>
          <w:rFonts w:ascii="Times New Roman" w:hAnsi="Times New Roman" w:cs="Times New Roman"/>
        </w:rPr>
        <w:t xml:space="preserve">Söz konusu kanuna </w:t>
      </w:r>
      <w:hyperlink r:id="rId5" w:history="1">
        <w:r>
          <w:rPr>
            <w:rStyle w:val="Kpr"/>
            <w:rFonts w:ascii="Times New Roman" w:hAnsi="Times New Roman" w:cs="Times New Roman"/>
          </w:rPr>
          <w:t>buradan</w:t>
        </w:r>
      </w:hyperlink>
      <w:r>
        <w:rPr>
          <w:rFonts w:ascii="Times New Roman" w:hAnsi="Times New Roman" w:cs="Times New Roman"/>
        </w:rPr>
        <w:t xml:space="preserve"> ulaşabilirsiniz.</w:t>
      </w:r>
    </w:p>
    <w:p w:rsidR="00B50FED" w:rsidRDefault="00B50FED" w:rsidP="00B50FED">
      <w:pPr>
        <w:spacing w:after="143"/>
        <w:rPr>
          <w:rFonts w:ascii="Times New Roman" w:hAnsi="Times New Roman" w:cs="Times New Roman"/>
        </w:rPr>
      </w:pPr>
    </w:p>
    <w:p w:rsidR="00B50FED" w:rsidRDefault="00B50FED" w:rsidP="00B50FED">
      <w:pPr>
        <w:rPr>
          <w:rFonts w:ascii="Times New Roman" w:hAnsi="Times New Roman" w:cs="Times New Roman"/>
        </w:rPr>
      </w:pPr>
      <w:r>
        <w:rPr>
          <w:rFonts w:ascii="Times New Roman" w:hAnsi="Times New Roman" w:cs="Times New Roman"/>
        </w:rPr>
        <w:t xml:space="preserve">Geçmiş tarihli bilgilendirme notlarımıza </w:t>
      </w:r>
      <w:hyperlink r:id="rId6" w:history="1">
        <w:r>
          <w:rPr>
            <w:rStyle w:val="Kpr"/>
            <w:rFonts w:ascii="Times New Roman" w:hAnsi="Times New Roman" w:cs="Times New Roman"/>
          </w:rPr>
          <w:t>www.eratalar.com</w:t>
        </w:r>
      </w:hyperlink>
      <w:r>
        <w:rPr>
          <w:rFonts w:ascii="Times New Roman" w:hAnsi="Times New Roman" w:cs="Times New Roman"/>
        </w:rPr>
        <w:t xml:space="preserve"> adresinden ulaşabilirsiniz. </w:t>
      </w:r>
    </w:p>
    <w:p w:rsidR="00B50FED" w:rsidRDefault="00B50FED" w:rsidP="00B50FED">
      <w:pPr>
        <w:spacing w:after="143"/>
        <w:rPr>
          <w:rFonts w:ascii="Times New Roman" w:hAnsi="Times New Roman" w:cs="Times New Roman"/>
        </w:rPr>
      </w:pPr>
    </w:p>
    <w:p w:rsidR="00B50FED" w:rsidRDefault="00B50FED" w:rsidP="00B50FED">
      <w:pPr>
        <w:rPr>
          <w:rFonts w:ascii="Times New Roman" w:hAnsi="Times New Roman" w:cs="Times New Roman"/>
        </w:rPr>
      </w:pPr>
      <w:r>
        <w:rPr>
          <w:rFonts w:ascii="Times New Roman" w:hAnsi="Times New Roman" w:cs="Times New Roman"/>
        </w:rPr>
        <w:t>Saygılarımızla,</w:t>
      </w:r>
    </w:p>
    <w:p w:rsidR="00B307F9" w:rsidRDefault="00B307F9"/>
    <w:sectPr w:rsidR="00B30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4131A"/>
    <w:multiLevelType w:val="hybridMultilevel"/>
    <w:tmpl w:val="C6E851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62"/>
    <w:rsid w:val="005C5E62"/>
    <w:rsid w:val="00B307F9"/>
    <w:rsid w:val="00B50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76816-262A-4AB6-B61F-FAB9D4D9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FED"/>
    <w:pPr>
      <w:spacing w:after="0" w:line="240" w:lineRule="auto"/>
    </w:pPr>
    <w:rPr>
      <w:rFonts w:ascii="Calibri" w:hAnsi="Calibri" w:cs="Calibri"/>
    </w:rPr>
  </w:style>
  <w:style w:type="paragraph" w:styleId="Balk1">
    <w:name w:val="heading 1"/>
    <w:basedOn w:val="Normal"/>
    <w:link w:val="Balk1Char"/>
    <w:uiPriority w:val="9"/>
    <w:qFormat/>
    <w:rsid w:val="00B50FED"/>
    <w:pPr>
      <w:outlineLvl w:val="0"/>
    </w:pPr>
    <w:rPr>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FED"/>
    <w:rPr>
      <w:rFonts w:ascii="Calibri" w:hAnsi="Calibri" w:cs="Calibri"/>
      <w:kern w:val="36"/>
    </w:rPr>
  </w:style>
  <w:style w:type="character" w:styleId="Kpr">
    <w:name w:val="Hyperlink"/>
    <w:basedOn w:val="VarsaylanParagrafYazTipi"/>
    <w:uiPriority w:val="99"/>
    <w:semiHidden/>
    <w:unhideWhenUsed/>
    <w:rsid w:val="00B50FED"/>
    <w:rPr>
      <w:color w:val="0563C1"/>
      <w:u w:val="single"/>
    </w:rPr>
  </w:style>
  <w:style w:type="paragraph" w:styleId="ListeParagraf">
    <w:name w:val="List Paragraph"/>
    <w:basedOn w:val="Normal"/>
    <w:uiPriority w:val="34"/>
    <w:qFormat/>
    <w:rsid w:val="00B50F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talar.com" TargetMode="External"/><Relationship Id="rId5" Type="http://schemas.openxmlformats.org/officeDocument/2006/relationships/hyperlink" Target="http://www.resmigazete.gov.tr/main.aspx?home=http://www.resmigazete.gov.tr/eskiler/2018/05/20180530.htm&amp;main=http://www.resmigazete.gov.tr/eskiler/2018/05/2018053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Sağesen</dc:creator>
  <cp:keywords/>
  <dc:description/>
  <cp:lastModifiedBy>Cansu Sağesen</cp:lastModifiedBy>
  <cp:revision>2</cp:revision>
  <dcterms:created xsi:type="dcterms:W3CDTF">2018-05-30T13:59:00Z</dcterms:created>
  <dcterms:modified xsi:type="dcterms:W3CDTF">2018-05-30T13:59:00Z</dcterms:modified>
</cp:coreProperties>
</file>