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A03" w:rsidRPr="00045498" w:rsidRDefault="00045498" w:rsidP="00627D0C">
      <w:pPr>
        <w:pStyle w:val="2-OrtaBaslk"/>
        <w:spacing w:line="276" w:lineRule="auto"/>
        <w:jc w:val="both"/>
        <w:rPr>
          <w:color w:val="548DD4"/>
          <w:sz w:val="24"/>
          <w:szCs w:val="24"/>
        </w:rPr>
      </w:pPr>
      <w:bookmarkStart w:id="0" w:name="_Hlk505083662"/>
      <w:r w:rsidRPr="00045498">
        <w:rPr>
          <w:color w:val="548DD4"/>
          <w:sz w:val="24"/>
          <w:szCs w:val="24"/>
        </w:rPr>
        <w:t>Türk Parası Kıymetini Koruma Hakkında 32 Sayılı Karar’da Değişiklik Yapılmasına Dair Karar</w:t>
      </w:r>
    </w:p>
    <w:p w:rsidR="00A40A03" w:rsidRPr="00045498" w:rsidRDefault="00A40A03" w:rsidP="00627D0C">
      <w:pPr>
        <w:spacing w:line="276" w:lineRule="auto"/>
        <w:jc w:val="both"/>
        <w:rPr>
          <w:rFonts w:ascii="Times New Roman" w:hAnsi="Times New Roman" w:cs="Times New Roman"/>
          <w:b/>
          <w:bCs/>
          <w:sz w:val="24"/>
          <w:szCs w:val="24"/>
        </w:rPr>
      </w:pPr>
    </w:p>
    <w:p w:rsidR="00045498" w:rsidRPr="00045498" w:rsidRDefault="00045498" w:rsidP="00A86C77">
      <w:pPr>
        <w:pStyle w:val="NormalWeb"/>
        <w:shd w:val="clear" w:color="auto" w:fill="FFFFFF"/>
        <w:jc w:val="both"/>
        <w:rPr>
          <w:rFonts w:ascii="Times New Roman" w:hAnsi="Times New Roman" w:cs="Times New Roman"/>
          <w:sz w:val="22"/>
          <w:szCs w:val="22"/>
        </w:rPr>
      </w:pPr>
      <w:r w:rsidRPr="00045498">
        <w:rPr>
          <w:rFonts w:ascii="Times New Roman" w:hAnsi="Times New Roman" w:cs="Times New Roman"/>
          <w:sz w:val="22"/>
          <w:szCs w:val="22"/>
        </w:rPr>
        <w:t xml:space="preserve">25 Ocak tarihli </w:t>
      </w:r>
      <w:proofErr w:type="gramStart"/>
      <w:r w:rsidRPr="00045498">
        <w:rPr>
          <w:rFonts w:ascii="Times New Roman" w:hAnsi="Times New Roman" w:cs="Times New Roman"/>
          <w:sz w:val="22"/>
          <w:szCs w:val="22"/>
        </w:rPr>
        <w:t>Resmi</w:t>
      </w:r>
      <w:proofErr w:type="gramEnd"/>
      <w:r w:rsidRPr="00045498">
        <w:rPr>
          <w:rFonts w:ascii="Times New Roman" w:hAnsi="Times New Roman" w:cs="Times New Roman"/>
          <w:sz w:val="22"/>
          <w:szCs w:val="22"/>
        </w:rPr>
        <w:t xml:space="preserve"> </w:t>
      </w:r>
      <w:proofErr w:type="spellStart"/>
      <w:r w:rsidRPr="00045498">
        <w:rPr>
          <w:rFonts w:ascii="Times New Roman" w:hAnsi="Times New Roman" w:cs="Times New Roman"/>
          <w:sz w:val="22"/>
          <w:szCs w:val="22"/>
        </w:rPr>
        <w:t>Gazete’de</w:t>
      </w:r>
      <w:proofErr w:type="spellEnd"/>
      <w:r w:rsidRPr="00045498">
        <w:rPr>
          <w:rFonts w:ascii="Times New Roman" w:hAnsi="Times New Roman" w:cs="Times New Roman"/>
          <w:sz w:val="22"/>
          <w:szCs w:val="22"/>
        </w:rPr>
        <w:t xml:space="preserve"> yayımlanan </w:t>
      </w:r>
      <w:r w:rsidRPr="00045498">
        <w:rPr>
          <w:rFonts w:ascii="Times New Roman" w:hAnsi="Times New Roman" w:cs="Times New Roman"/>
          <w:i/>
          <w:sz w:val="22"/>
          <w:szCs w:val="22"/>
        </w:rPr>
        <w:t>Türk Parası Kıymetini Koruma Hakkında 32 Sayılı Karar’da Değişiklik Yapılmasına Dair Karar</w:t>
      </w:r>
      <w:r w:rsidR="00A86C77">
        <w:rPr>
          <w:rFonts w:ascii="Times New Roman" w:hAnsi="Times New Roman" w:cs="Times New Roman"/>
          <w:i/>
          <w:sz w:val="22"/>
          <w:szCs w:val="22"/>
        </w:rPr>
        <w:t xml:space="preserve"> </w:t>
      </w:r>
      <w:r w:rsidR="00A86C77">
        <w:rPr>
          <w:rFonts w:ascii="Times New Roman" w:hAnsi="Times New Roman" w:cs="Times New Roman"/>
          <w:sz w:val="22"/>
          <w:szCs w:val="22"/>
        </w:rPr>
        <w:t xml:space="preserve">ve </w:t>
      </w:r>
      <w:r w:rsidR="00A86C77" w:rsidRPr="00A86C77">
        <w:rPr>
          <w:rFonts w:ascii="Times New Roman" w:hAnsi="Times New Roman" w:cs="Times New Roman"/>
          <w:i/>
          <w:sz w:val="22"/>
          <w:szCs w:val="22"/>
        </w:rPr>
        <w:t>Türk Parası Kıymetini Koruma Hakkında 32 Sayılı Karara İlişkin Tebliğ (Tebliğ No: 2008-32/34)’de Değişiklik Yapılmasına Dair Tebliğ (Tebliğ No: 2018-32/46)</w:t>
      </w:r>
      <w:r w:rsidR="00A86C77" w:rsidRPr="00045498">
        <w:rPr>
          <w:rFonts w:ascii="Times New Roman" w:hAnsi="Times New Roman" w:cs="Times New Roman"/>
          <w:i/>
          <w:sz w:val="22"/>
          <w:szCs w:val="22"/>
        </w:rPr>
        <w:t xml:space="preserve"> </w:t>
      </w:r>
      <w:r w:rsidRPr="00045498">
        <w:rPr>
          <w:rFonts w:ascii="Times New Roman" w:hAnsi="Times New Roman" w:cs="Times New Roman"/>
          <w:sz w:val="22"/>
          <w:szCs w:val="22"/>
        </w:rPr>
        <w:t>ile kambiyo mevzuatında aşağıdaki değişiklikler yapılmıştır:</w:t>
      </w:r>
    </w:p>
    <w:p w:rsidR="009B54EA" w:rsidRDefault="00313726" w:rsidP="00FF0BEF">
      <w:pPr>
        <w:pStyle w:val="NormalWeb"/>
        <w:shd w:val="clear" w:color="auto" w:fill="FFFFFF"/>
        <w:spacing w:before="0" w:line="240" w:lineRule="auto"/>
        <w:jc w:val="both"/>
        <w:rPr>
          <w:rFonts w:ascii="Times New Roman" w:hAnsi="Times New Roman" w:cs="Times New Roman"/>
          <w:sz w:val="22"/>
          <w:szCs w:val="22"/>
        </w:rPr>
      </w:pPr>
      <w:bookmarkStart w:id="1" w:name="_GoBack"/>
      <w:bookmarkEnd w:id="1"/>
      <w:r>
        <w:rPr>
          <w:rFonts w:ascii="Times New Roman" w:hAnsi="Times New Roman" w:cs="Times New Roman"/>
          <w:bCs/>
          <w:noProof/>
          <w:sz w:val="22"/>
          <w:szCs w:val="22"/>
        </w:rPr>
        <mc:AlternateContent>
          <mc:Choice Requires="wps">
            <w:drawing>
              <wp:anchor distT="0" distB="0" distL="114300" distR="114300" simplePos="0" relativeHeight="251663360" behindDoc="0" locked="0" layoutInCell="1" allowOverlap="1">
                <wp:simplePos x="0" y="0"/>
                <wp:positionH relativeFrom="column">
                  <wp:posOffset>309880</wp:posOffset>
                </wp:positionH>
                <wp:positionV relativeFrom="paragraph">
                  <wp:posOffset>242570</wp:posOffset>
                </wp:positionV>
                <wp:extent cx="5162550" cy="1104900"/>
                <wp:effectExtent l="0" t="0" r="0" b="0"/>
                <wp:wrapSquare wrapText="bothSides"/>
                <wp:docPr id="200" name="Text Box 200"/>
                <wp:cNvGraphicFramePr/>
                <a:graphic xmlns:a="http://schemas.openxmlformats.org/drawingml/2006/main">
                  <a:graphicData uri="http://schemas.microsoft.com/office/word/2010/wordprocessingShape">
                    <wps:wsp>
                      <wps:cNvSpPr txBox="1"/>
                      <wps:spPr>
                        <a:xfrm>
                          <a:off x="0" y="0"/>
                          <a:ext cx="516255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4B46" w:rsidRPr="00313726" w:rsidRDefault="00D14B46" w:rsidP="00313726">
                            <w:pPr>
                              <w:pStyle w:val="NormalWeb"/>
                              <w:shd w:val="clear" w:color="auto" w:fill="FFFFFF"/>
                              <w:spacing w:before="0" w:line="240" w:lineRule="auto"/>
                              <w:jc w:val="both"/>
                              <w:rPr>
                                <w:rFonts w:ascii="Times New Roman" w:hAnsi="Times New Roman" w:cs="Times New Roman"/>
                                <w:b/>
                                <w:i/>
                                <w:sz w:val="26"/>
                                <w:szCs w:val="26"/>
                              </w:rPr>
                            </w:pPr>
                            <w:r w:rsidRPr="00313726">
                              <w:rPr>
                                <w:rFonts w:ascii="Times New Roman" w:hAnsi="Times New Roman" w:cs="Times New Roman"/>
                                <w:b/>
                                <w:i/>
                                <w:sz w:val="26"/>
                                <w:szCs w:val="26"/>
                              </w:rPr>
                              <w:t>Türkiye’de yerleşik gerçek kişilerin yurtiçi ya da yurtdışından döviz kredisi kulla</w:t>
                            </w:r>
                            <w:r w:rsidR="00A86C77">
                              <w:rPr>
                                <w:rFonts w:ascii="Times New Roman" w:hAnsi="Times New Roman" w:cs="Times New Roman"/>
                                <w:b/>
                                <w:i/>
                                <w:sz w:val="26"/>
                                <w:szCs w:val="26"/>
                              </w:rPr>
                              <w:t>nmaları</w:t>
                            </w:r>
                            <w:r w:rsidRPr="00313726">
                              <w:rPr>
                                <w:rFonts w:ascii="Times New Roman" w:hAnsi="Times New Roman" w:cs="Times New Roman"/>
                                <w:b/>
                                <w:i/>
                                <w:sz w:val="26"/>
                                <w:szCs w:val="26"/>
                              </w:rPr>
                              <w:t xml:space="preserve"> yasaklanmıştır. </w:t>
                            </w:r>
                          </w:p>
                          <w:p w:rsidR="00D14B46" w:rsidRPr="00313726" w:rsidRDefault="00D14B46" w:rsidP="00313726">
                            <w:pPr>
                              <w:pStyle w:val="NormalWeb"/>
                              <w:shd w:val="clear" w:color="auto" w:fill="FFFFFF"/>
                              <w:spacing w:before="0" w:line="240" w:lineRule="auto"/>
                              <w:jc w:val="both"/>
                              <w:rPr>
                                <w:rFonts w:ascii="Times New Roman" w:hAnsi="Times New Roman" w:cs="Times New Roman"/>
                                <w:b/>
                                <w:i/>
                                <w:sz w:val="26"/>
                                <w:szCs w:val="26"/>
                              </w:rPr>
                            </w:pPr>
                          </w:p>
                          <w:p w:rsidR="00D14B46" w:rsidRPr="00313726" w:rsidRDefault="00D14B46" w:rsidP="00313726">
                            <w:pPr>
                              <w:jc w:val="both"/>
                              <w:rPr>
                                <w:caps/>
                                <w:color w:val="5B9BD5" w:themeColor="accent1"/>
                                <w:sz w:val="26"/>
                                <w:szCs w:val="26"/>
                              </w:rPr>
                            </w:pPr>
                            <w:r w:rsidRPr="00313726">
                              <w:rPr>
                                <w:rFonts w:ascii="Times New Roman" w:hAnsi="Times New Roman" w:cs="Times New Roman"/>
                                <w:b/>
                                <w:i/>
                                <w:sz w:val="26"/>
                                <w:szCs w:val="26"/>
                              </w:rPr>
                              <w:t xml:space="preserve">Türkiye’de yerleşik </w:t>
                            </w:r>
                            <w:r w:rsidR="00A86C77">
                              <w:rPr>
                                <w:rFonts w:ascii="Times New Roman" w:hAnsi="Times New Roman" w:cs="Times New Roman"/>
                                <w:b/>
                                <w:i/>
                                <w:sz w:val="26"/>
                                <w:szCs w:val="26"/>
                              </w:rPr>
                              <w:t xml:space="preserve">tüzel ve gerçek </w:t>
                            </w:r>
                            <w:r w:rsidRPr="00313726">
                              <w:rPr>
                                <w:rFonts w:ascii="Times New Roman" w:hAnsi="Times New Roman" w:cs="Times New Roman"/>
                                <w:b/>
                                <w:i/>
                                <w:sz w:val="26"/>
                                <w:szCs w:val="26"/>
                              </w:rPr>
                              <w:t>kişilerin yurtiçi ve yurtdışından dövize endeksli kredi kulla</w:t>
                            </w:r>
                            <w:r w:rsidR="00A86C77">
                              <w:rPr>
                                <w:rFonts w:ascii="Times New Roman" w:hAnsi="Times New Roman" w:cs="Times New Roman"/>
                                <w:b/>
                                <w:i/>
                                <w:sz w:val="26"/>
                                <w:szCs w:val="26"/>
                              </w:rPr>
                              <w:t>nmalar</w:t>
                            </w:r>
                            <w:r w:rsidRPr="00313726">
                              <w:rPr>
                                <w:rFonts w:ascii="Times New Roman" w:hAnsi="Times New Roman" w:cs="Times New Roman"/>
                                <w:b/>
                                <w:i/>
                                <w:sz w:val="26"/>
                                <w:szCs w:val="26"/>
                              </w:rPr>
                              <w:t>ı yasaklanmıştır.</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0" o:spid="_x0000_s1026" type="#_x0000_t202" style="position:absolute;left:0;text-align:left;margin-left:24.4pt;margin-top:19.1pt;width:406.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" filled="f" stroked="f" strokeweight=".5pt">
                <v:textbox inset=",7.2pt,,0">
                  <w:txbxContent>
                    <w:p w:rsidR="00D14B46" w:rsidRPr="00313726" w:rsidRDefault="00D14B46" w:rsidP="00313726">
                      <w:pPr>
                        <w:pStyle w:val="NormalWeb"/>
                        <w:shd w:val="clear" w:color="auto" w:fill="FFFFFF"/>
                        <w:spacing w:before="0" w:line="240" w:lineRule="auto"/>
                        <w:jc w:val="both"/>
                        <w:rPr>
                          <w:rFonts w:ascii="Times New Roman" w:hAnsi="Times New Roman" w:cs="Times New Roman"/>
                          <w:b/>
                          <w:i/>
                          <w:sz w:val="26"/>
                          <w:szCs w:val="26"/>
                        </w:rPr>
                      </w:pPr>
                      <w:r w:rsidRPr="00313726">
                        <w:rPr>
                          <w:rFonts w:ascii="Times New Roman" w:hAnsi="Times New Roman" w:cs="Times New Roman"/>
                          <w:b/>
                          <w:i/>
                          <w:sz w:val="26"/>
                          <w:szCs w:val="26"/>
                        </w:rPr>
                        <w:t>Türkiye’de yerleşik gerçek kişilerin yurtiçi ya da yurtdışından döviz kredisi kulla</w:t>
                      </w:r>
                      <w:r w:rsidR="00A86C77">
                        <w:rPr>
                          <w:rFonts w:ascii="Times New Roman" w:hAnsi="Times New Roman" w:cs="Times New Roman"/>
                          <w:b/>
                          <w:i/>
                          <w:sz w:val="26"/>
                          <w:szCs w:val="26"/>
                        </w:rPr>
                        <w:t>nmaları</w:t>
                      </w:r>
                      <w:r w:rsidRPr="00313726">
                        <w:rPr>
                          <w:rFonts w:ascii="Times New Roman" w:hAnsi="Times New Roman" w:cs="Times New Roman"/>
                          <w:b/>
                          <w:i/>
                          <w:sz w:val="26"/>
                          <w:szCs w:val="26"/>
                        </w:rPr>
                        <w:t xml:space="preserve"> yasaklanmıştır. </w:t>
                      </w:r>
                    </w:p>
                    <w:p w:rsidR="00D14B46" w:rsidRPr="00313726" w:rsidRDefault="00D14B46" w:rsidP="00313726">
                      <w:pPr>
                        <w:pStyle w:val="NormalWeb"/>
                        <w:shd w:val="clear" w:color="auto" w:fill="FFFFFF"/>
                        <w:spacing w:before="0" w:line="240" w:lineRule="auto"/>
                        <w:jc w:val="both"/>
                        <w:rPr>
                          <w:rFonts w:ascii="Times New Roman" w:hAnsi="Times New Roman" w:cs="Times New Roman"/>
                          <w:b/>
                          <w:i/>
                          <w:sz w:val="26"/>
                          <w:szCs w:val="26"/>
                        </w:rPr>
                      </w:pPr>
                    </w:p>
                    <w:p w:rsidR="00D14B46" w:rsidRPr="00313726" w:rsidRDefault="00D14B46" w:rsidP="00313726">
                      <w:pPr>
                        <w:jc w:val="both"/>
                        <w:rPr>
                          <w:caps/>
                          <w:color w:val="5B9BD5" w:themeColor="accent1"/>
                          <w:sz w:val="26"/>
                          <w:szCs w:val="26"/>
                        </w:rPr>
                      </w:pPr>
                      <w:r w:rsidRPr="00313726">
                        <w:rPr>
                          <w:rFonts w:ascii="Times New Roman" w:hAnsi="Times New Roman" w:cs="Times New Roman"/>
                          <w:b/>
                          <w:i/>
                          <w:sz w:val="26"/>
                          <w:szCs w:val="26"/>
                        </w:rPr>
                        <w:t xml:space="preserve">Türkiye’de yerleşik </w:t>
                      </w:r>
                      <w:r w:rsidR="00A86C77">
                        <w:rPr>
                          <w:rFonts w:ascii="Times New Roman" w:hAnsi="Times New Roman" w:cs="Times New Roman"/>
                          <w:b/>
                          <w:i/>
                          <w:sz w:val="26"/>
                          <w:szCs w:val="26"/>
                        </w:rPr>
                        <w:t xml:space="preserve">tüzel ve gerçek </w:t>
                      </w:r>
                      <w:r w:rsidRPr="00313726">
                        <w:rPr>
                          <w:rFonts w:ascii="Times New Roman" w:hAnsi="Times New Roman" w:cs="Times New Roman"/>
                          <w:b/>
                          <w:i/>
                          <w:sz w:val="26"/>
                          <w:szCs w:val="26"/>
                        </w:rPr>
                        <w:t>kişilerin yurtiçi ve yurtdışından dövize endeksli kredi kulla</w:t>
                      </w:r>
                      <w:r w:rsidR="00A86C77">
                        <w:rPr>
                          <w:rFonts w:ascii="Times New Roman" w:hAnsi="Times New Roman" w:cs="Times New Roman"/>
                          <w:b/>
                          <w:i/>
                          <w:sz w:val="26"/>
                          <w:szCs w:val="26"/>
                        </w:rPr>
                        <w:t>nmalar</w:t>
                      </w:r>
                      <w:r w:rsidRPr="00313726">
                        <w:rPr>
                          <w:rFonts w:ascii="Times New Roman" w:hAnsi="Times New Roman" w:cs="Times New Roman"/>
                          <w:b/>
                          <w:i/>
                          <w:sz w:val="26"/>
                          <w:szCs w:val="26"/>
                        </w:rPr>
                        <w:t>ı yasaklanmıştır.</w:t>
                      </w:r>
                    </w:p>
                  </w:txbxContent>
                </v:textbox>
                <w10:wrap type="square"/>
              </v:shape>
            </w:pict>
          </mc:Fallback>
        </mc:AlternateContent>
      </w:r>
    </w:p>
    <w:p w:rsidR="00313726" w:rsidRDefault="00313726" w:rsidP="00EC00C2">
      <w:pPr>
        <w:pStyle w:val="NormalWeb"/>
        <w:shd w:val="clear" w:color="auto" w:fill="FFFFFF"/>
        <w:spacing w:before="0" w:line="240" w:lineRule="auto"/>
        <w:ind w:left="-1134"/>
        <w:jc w:val="both"/>
        <w:rPr>
          <w:rFonts w:ascii="Times New Roman" w:hAnsi="Times New Roman" w:cs="Times New Roman"/>
          <w:bCs/>
          <w:sz w:val="22"/>
          <w:szCs w:val="22"/>
        </w:rPr>
      </w:pPr>
    </w:p>
    <w:p w:rsidR="0059768A" w:rsidRDefault="00A86C77" w:rsidP="00EC00C2">
      <w:pPr>
        <w:pStyle w:val="NormalWeb"/>
        <w:shd w:val="clear" w:color="auto" w:fill="FFFFFF"/>
        <w:spacing w:before="0" w:line="240" w:lineRule="auto"/>
        <w:ind w:left="-1134"/>
        <w:jc w:val="both"/>
        <w:rPr>
          <w:rFonts w:ascii="Times New Roman" w:hAnsi="Times New Roman" w:cs="Times New Roman"/>
          <w:bCs/>
          <w:sz w:val="22"/>
          <w:szCs w:val="22"/>
        </w:rPr>
      </w:pPr>
      <w:r w:rsidRPr="00A86C77">
        <w:drawing>
          <wp:inline distT="0" distB="0" distL="0" distR="0">
            <wp:extent cx="7248525" cy="367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68960" cy="3689604"/>
                    </a:xfrm>
                    <a:prstGeom prst="rect">
                      <a:avLst/>
                    </a:prstGeom>
                    <a:noFill/>
                    <a:ln>
                      <a:noFill/>
                    </a:ln>
                  </pic:spPr>
                </pic:pic>
              </a:graphicData>
            </a:graphic>
          </wp:inline>
        </w:drawing>
      </w:r>
    </w:p>
    <w:p w:rsidR="0059768A" w:rsidRDefault="0059768A" w:rsidP="007B77C5">
      <w:pPr>
        <w:pStyle w:val="NormalWeb"/>
        <w:shd w:val="clear" w:color="auto" w:fill="FFFFFF"/>
        <w:spacing w:before="0" w:line="240" w:lineRule="auto"/>
        <w:jc w:val="both"/>
        <w:rPr>
          <w:rFonts w:ascii="Times New Roman" w:hAnsi="Times New Roman" w:cs="Times New Roman"/>
          <w:bCs/>
          <w:sz w:val="22"/>
          <w:szCs w:val="22"/>
        </w:rPr>
      </w:pPr>
    </w:p>
    <w:p w:rsidR="00EC00C2" w:rsidRDefault="00EC00C2" w:rsidP="00FF0BEF">
      <w:pPr>
        <w:jc w:val="both"/>
        <w:rPr>
          <w:rFonts w:ascii="Times New Roman" w:hAnsi="Times New Roman" w:cs="Times New Roman"/>
        </w:rPr>
      </w:pPr>
      <w:r>
        <w:rPr>
          <w:rFonts w:ascii="Times New Roman" w:hAnsi="Times New Roman" w:cs="Times New Roman"/>
        </w:rPr>
        <w:t>Özellikli konular:</w:t>
      </w:r>
    </w:p>
    <w:p w:rsidR="00FB5834" w:rsidRDefault="00FB5834" w:rsidP="00FF0BEF">
      <w:pPr>
        <w:jc w:val="both"/>
        <w:rPr>
          <w:rFonts w:ascii="Times New Roman" w:hAnsi="Times New Roman" w:cs="Times New Roman"/>
        </w:rPr>
      </w:pPr>
    </w:p>
    <w:p w:rsidR="00A86C77" w:rsidRDefault="00A86C77" w:rsidP="00A86C77">
      <w:pPr>
        <w:pStyle w:val="ListParagraph"/>
        <w:numPr>
          <w:ilvl w:val="0"/>
          <w:numId w:val="22"/>
        </w:numPr>
        <w:jc w:val="both"/>
        <w:rPr>
          <w:rFonts w:ascii="Times New Roman" w:hAnsi="Times New Roman" w:cs="Times New Roman"/>
        </w:rPr>
      </w:pPr>
      <w:r w:rsidRPr="00041FBD">
        <w:rPr>
          <w:rFonts w:ascii="Times New Roman" w:hAnsi="Times New Roman" w:cs="Times New Roman"/>
        </w:rPr>
        <w:t>Kredi bakiyesi terimi, yurt içinden ve yurtdışından temin edilen nakit döv</w:t>
      </w:r>
      <w:r>
        <w:rPr>
          <w:rFonts w:ascii="Times New Roman" w:hAnsi="Times New Roman" w:cs="Times New Roman"/>
        </w:rPr>
        <w:t>iz kredisi borçlarının geri öde</w:t>
      </w:r>
      <w:r w:rsidRPr="00041FBD">
        <w:rPr>
          <w:rFonts w:ascii="Times New Roman" w:hAnsi="Times New Roman" w:cs="Times New Roman"/>
        </w:rPr>
        <w:t xml:space="preserve">mesi yapılmamış toplamını ifade etmektedir. </w:t>
      </w:r>
    </w:p>
    <w:p w:rsidR="00A86C77" w:rsidRDefault="00A86C77" w:rsidP="00A86C77">
      <w:pPr>
        <w:pStyle w:val="ListParagraph"/>
        <w:jc w:val="both"/>
        <w:rPr>
          <w:rFonts w:ascii="Times New Roman" w:hAnsi="Times New Roman" w:cs="Times New Roman"/>
        </w:rPr>
      </w:pPr>
    </w:p>
    <w:p w:rsidR="005C7193" w:rsidRDefault="005C7193" w:rsidP="005C7193">
      <w:pPr>
        <w:pStyle w:val="ListParagraph"/>
        <w:numPr>
          <w:ilvl w:val="0"/>
          <w:numId w:val="22"/>
        </w:numPr>
        <w:jc w:val="both"/>
        <w:rPr>
          <w:rFonts w:ascii="Times New Roman" w:hAnsi="Times New Roman" w:cs="Times New Roman"/>
        </w:rPr>
      </w:pPr>
      <w:r w:rsidRPr="005C7193">
        <w:rPr>
          <w:rFonts w:ascii="Times New Roman" w:hAnsi="Times New Roman" w:cs="Times New Roman"/>
        </w:rPr>
        <w:t xml:space="preserve">Kredi bakiyesi 15 </w:t>
      </w:r>
      <w:proofErr w:type="spellStart"/>
      <w:r>
        <w:rPr>
          <w:rFonts w:ascii="Times New Roman" w:hAnsi="Times New Roman" w:cs="Times New Roman"/>
        </w:rPr>
        <w:t>mio</w:t>
      </w:r>
      <w:proofErr w:type="spellEnd"/>
      <w:r>
        <w:rPr>
          <w:rFonts w:ascii="Times New Roman" w:hAnsi="Times New Roman" w:cs="Times New Roman"/>
        </w:rPr>
        <w:t xml:space="preserve"> </w:t>
      </w:r>
      <w:proofErr w:type="spellStart"/>
      <w:r>
        <w:rPr>
          <w:rFonts w:ascii="Times New Roman" w:hAnsi="Times New Roman" w:cs="Times New Roman"/>
        </w:rPr>
        <w:t>USD’nin</w:t>
      </w:r>
      <w:proofErr w:type="spellEnd"/>
      <w:r w:rsidRPr="005C7193">
        <w:rPr>
          <w:rFonts w:ascii="Times New Roman" w:hAnsi="Times New Roman" w:cs="Times New Roman"/>
        </w:rPr>
        <w:t xml:space="preserve"> altında olan Türkiye’de yerleşik döviz </w:t>
      </w:r>
      <w:r w:rsidR="00A86C77">
        <w:rPr>
          <w:rFonts w:ascii="Times New Roman" w:hAnsi="Times New Roman" w:cs="Times New Roman"/>
        </w:rPr>
        <w:t xml:space="preserve">geliri olan kişilerin döviz kredisi </w:t>
      </w:r>
      <w:r w:rsidRPr="005C7193">
        <w:rPr>
          <w:rFonts w:ascii="Times New Roman" w:hAnsi="Times New Roman" w:cs="Times New Roman"/>
        </w:rPr>
        <w:t xml:space="preserve">kullanım talepleri sırasında son </w:t>
      </w:r>
      <w:r>
        <w:rPr>
          <w:rFonts w:ascii="Times New Roman" w:hAnsi="Times New Roman" w:cs="Times New Roman"/>
        </w:rPr>
        <w:t>3</w:t>
      </w:r>
      <w:r w:rsidRPr="005C7193">
        <w:rPr>
          <w:rFonts w:ascii="Times New Roman" w:hAnsi="Times New Roman" w:cs="Times New Roman"/>
        </w:rPr>
        <w:t xml:space="preserve"> mali yıla ilişkin döviz gelirlerini mali müşavirler tarafından onaylanmış belgelerle tevsik etmeleri zorunludur.</w:t>
      </w:r>
    </w:p>
    <w:p w:rsidR="00FB5834" w:rsidRPr="00041FBD" w:rsidRDefault="00FB5834" w:rsidP="00FB5834">
      <w:pPr>
        <w:pStyle w:val="ListParagraph"/>
        <w:jc w:val="both"/>
        <w:rPr>
          <w:rFonts w:ascii="Times New Roman" w:hAnsi="Times New Roman" w:cs="Times New Roman"/>
        </w:rPr>
      </w:pPr>
    </w:p>
    <w:p w:rsidR="00EC00C2" w:rsidRDefault="00041FBD" w:rsidP="00EC00C2">
      <w:pPr>
        <w:pStyle w:val="ListParagraph"/>
        <w:numPr>
          <w:ilvl w:val="0"/>
          <w:numId w:val="22"/>
        </w:numPr>
        <w:jc w:val="both"/>
        <w:rPr>
          <w:rFonts w:ascii="Times New Roman" w:hAnsi="Times New Roman" w:cs="Times New Roman"/>
        </w:rPr>
      </w:pPr>
      <w:r>
        <w:rPr>
          <w:rFonts w:ascii="Times New Roman" w:hAnsi="Times New Roman" w:cs="Times New Roman"/>
        </w:rPr>
        <w:t xml:space="preserve">Bankaların Türkiye’deki şubelerinde teminat olarak bulundurulan döviz kefaletiyle ihraç edilen yabancı para menkul kıymet tutarını geçmemek üzere Türkiye’de yerleşik kişilerin kullanacağı döviz kredilerinin “ticari ve mesleki amaçlı kullandırılması” gerekliliği kaldırılmıştır. </w:t>
      </w:r>
    </w:p>
    <w:p w:rsidR="00FB5834" w:rsidRPr="00FB5834" w:rsidRDefault="00FB5834" w:rsidP="00FB5834">
      <w:pPr>
        <w:pStyle w:val="ListParagraph"/>
        <w:rPr>
          <w:rFonts w:ascii="Times New Roman" w:hAnsi="Times New Roman" w:cs="Times New Roman"/>
        </w:rPr>
      </w:pPr>
    </w:p>
    <w:p w:rsidR="00041FBD" w:rsidRDefault="00041FBD" w:rsidP="00EC00C2">
      <w:pPr>
        <w:pStyle w:val="ListParagraph"/>
        <w:numPr>
          <w:ilvl w:val="0"/>
          <w:numId w:val="22"/>
        </w:numPr>
        <w:jc w:val="both"/>
        <w:rPr>
          <w:rFonts w:ascii="Times New Roman" w:hAnsi="Times New Roman" w:cs="Times New Roman"/>
        </w:rPr>
      </w:pPr>
      <w:r>
        <w:rPr>
          <w:rFonts w:ascii="Times New Roman" w:hAnsi="Times New Roman" w:cs="Times New Roman"/>
        </w:rPr>
        <w:lastRenderedPageBreak/>
        <w:t xml:space="preserve">Bankalar, finansal kiralama, </w:t>
      </w:r>
      <w:proofErr w:type="spellStart"/>
      <w:r>
        <w:rPr>
          <w:rFonts w:ascii="Times New Roman" w:hAnsi="Times New Roman" w:cs="Times New Roman"/>
        </w:rPr>
        <w:t>fakt</w:t>
      </w:r>
      <w:r w:rsidR="00FB5834">
        <w:rPr>
          <w:rFonts w:ascii="Times New Roman" w:hAnsi="Times New Roman" w:cs="Times New Roman"/>
        </w:rPr>
        <w:t>o</w:t>
      </w:r>
      <w:r>
        <w:rPr>
          <w:rFonts w:ascii="Times New Roman" w:hAnsi="Times New Roman" w:cs="Times New Roman"/>
        </w:rPr>
        <w:t>ring</w:t>
      </w:r>
      <w:proofErr w:type="spellEnd"/>
      <w:r>
        <w:rPr>
          <w:rFonts w:ascii="Times New Roman" w:hAnsi="Times New Roman" w:cs="Times New Roman"/>
        </w:rPr>
        <w:t xml:space="preserve"> ve finansman şirketleri ile Bakanlıkça belirlenecek diğer kişiler tarafından </w:t>
      </w:r>
      <w:r w:rsidRPr="00041FBD">
        <w:rPr>
          <w:rFonts w:ascii="Times New Roman" w:hAnsi="Times New Roman" w:cs="Times New Roman"/>
          <w:u w:val="single"/>
        </w:rPr>
        <w:t>yurt dışında yerleşik kişilere</w:t>
      </w:r>
      <w:r>
        <w:rPr>
          <w:rFonts w:ascii="Times New Roman" w:hAnsi="Times New Roman" w:cs="Times New Roman"/>
        </w:rPr>
        <w:t xml:space="preserve"> döviz ve TL kredi açılması serbesttir. </w:t>
      </w:r>
    </w:p>
    <w:p w:rsidR="005C7193" w:rsidRPr="005C7193" w:rsidRDefault="005C7193" w:rsidP="005C7193">
      <w:pPr>
        <w:pStyle w:val="ListParagraph"/>
        <w:rPr>
          <w:rFonts w:ascii="Times New Roman" w:hAnsi="Times New Roman" w:cs="Times New Roman"/>
        </w:rPr>
      </w:pPr>
    </w:p>
    <w:p w:rsidR="009C5F73" w:rsidRDefault="009C5F73" w:rsidP="00FB5834">
      <w:pPr>
        <w:pStyle w:val="ListParagraph"/>
        <w:numPr>
          <w:ilvl w:val="0"/>
          <w:numId w:val="22"/>
        </w:numPr>
        <w:jc w:val="both"/>
        <w:rPr>
          <w:rFonts w:ascii="Times New Roman" w:hAnsi="Times New Roman" w:cs="Times New Roman"/>
        </w:rPr>
      </w:pPr>
      <w:r>
        <w:rPr>
          <w:rFonts w:ascii="Times New Roman" w:hAnsi="Times New Roman" w:cs="Times New Roman"/>
        </w:rPr>
        <w:t xml:space="preserve">Bankalarla beraber Türkiye’de yerleşik finansal kiralama, </w:t>
      </w:r>
      <w:proofErr w:type="spellStart"/>
      <w:r>
        <w:rPr>
          <w:rFonts w:ascii="Times New Roman" w:hAnsi="Times New Roman" w:cs="Times New Roman"/>
        </w:rPr>
        <w:t>faktoring</w:t>
      </w:r>
      <w:proofErr w:type="spellEnd"/>
      <w:r>
        <w:rPr>
          <w:rFonts w:ascii="Times New Roman" w:hAnsi="Times New Roman" w:cs="Times New Roman"/>
        </w:rPr>
        <w:t xml:space="preserve"> ve finansman şirketlerinin de aynı esaslar çerçevesinde döviz kredi kullandırması mümkün kılınmıştır. Türkiye’de yerleşik finansal kiralama şirketlerinin Türkiye’de yerleşik tüzel kişiler ile yurt dışında yerleşik kişilerle yapacakları finansal kiralama işlemlerine ilişkin bedellerin döviz üzerinden belirlenebileceği de belirtilmiştir. </w:t>
      </w:r>
    </w:p>
    <w:p w:rsidR="009C5F73" w:rsidRPr="009C5F73" w:rsidRDefault="009C5F73" w:rsidP="009C5F73">
      <w:pPr>
        <w:pStyle w:val="ListParagraph"/>
        <w:rPr>
          <w:rFonts w:ascii="Times New Roman" w:hAnsi="Times New Roman" w:cs="Times New Roman"/>
        </w:rPr>
      </w:pPr>
    </w:p>
    <w:p w:rsidR="009C5F73" w:rsidRDefault="009C5F73" w:rsidP="00FB5834">
      <w:pPr>
        <w:pStyle w:val="ListParagraph"/>
        <w:numPr>
          <w:ilvl w:val="0"/>
          <w:numId w:val="22"/>
        </w:numPr>
        <w:jc w:val="both"/>
        <w:rPr>
          <w:rFonts w:ascii="Times New Roman" w:hAnsi="Times New Roman" w:cs="Times New Roman"/>
        </w:rPr>
      </w:pPr>
      <w:r>
        <w:rPr>
          <w:rFonts w:ascii="Times New Roman" w:hAnsi="Times New Roman" w:cs="Times New Roman"/>
        </w:rPr>
        <w:t xml:space="preserve">Bankaların, finansal kiralama, faktöring ve finansman şirketlerinin kendi teamülleri çerçevesinde yurtdışından kredi temin etmeleri </w:t>
      </w:r>
      <w:r w:rsidR="00613094">
        <w:rPr>
          <w:rFonts w:ascii="Times New Roman" w:hAnsi="Times New Roman" w:cs="Times New Roman"/>
        </w:rPr>
        <w:t xml:space="preserve">ile </w:t>
      </w:r>
      <w:r>
        <w:rPr>
          <w:rFonts w:ascii="Times New Roman" w:hAnsi="Times New Roman" w:cs="Times New Roman"/>
        </w:rPr>
        <w:t>birbirlerine doğrudan veya uluslarar</w:t>
      </w:r>
      <w:r w:rsidR="00613094">
        <w:rPr>
          <w:rFonts w:ascii="Times New Roman" w:hAnsi="Times New Roman" w:cs="Times New Roman"/>
        </w:rPr>
        <w:t>a</w:t>
      </w:r>
      <w:r>
        <w:rPr>
          <w:rFonts w:ascii="Times New Roman" w:hAnsi="Times New Roman" w:cs="Times New Roman"/>
        </w:rPr>
        <w:t xml:space="preserve">sı </w:t>
      </w:r>
      <w:proofErr w:type="spellStart"/>
      <w:r>
        <w:rPr>
          <w:rFonts w:ascii="Times New Roman" w:hAnsi="Times New Roman" w:cs="Times New Roman"/>
        </w:rPr>
        <w:t>sendikasyona</w:t>
      </w:r>
      <w:proofErr w:type="spellEnd"/>
      <w:r>
        <w:rPr>
          <w:rFonts w:ascii="Times New Roman" w:hAnsi="Times New Roman" w:cs="Times New Roman"/>
        </w:rPr>
        <w:t xml:space="preserve"> katılım yoluyla, vade sınırı bulunmaksızın döviz kredisi </w:t>
      </w:r>
      <w:r w:rsidR="00613094">
        <w:rPr>
          <w:rFonts w:ascii="Times New Roman" w:hAnsi="Times New Roman" w:cs="Times New Roman"/>
        </w:rPr>
        <w:t xml:space="preserve">açabilmeleri serbesttir. </w:t>
      </w:r>
    </w:p>
    <w:p w:rsidR="009C5F73" w:rsidRPr="009C5F73" w:rsidRDefault="009C5F73" w:rsidP="009C5F73">
      <w:pPr>
        <w:pStyle w:val="ListParagraph"/>
        <w:rPr>
          <w:rFonts w:ascii="Times New Roman" w:hAnsi="Times New Roman" w:cs="Times New Roman"/>
        </w:rPr>
      </w:pPr>
    </w:p>
    <w:p w:rsidR="00FB5834" w:rsidRDefault="00FB5834" w:rsidP="00FB5834">
      <w:pPr>
        <w:pStyle w:val="ListParagraph"/>
        <w:numPr>
          <w:ilvl w:val="0"/>
          <w:numId w:val="22"/>
        </w:numPr>
        <w:jc w:val="both"/>
        <w:rPr>
          <w:rFonts w:ascii="Times New Roman" w:hAnsi="Times New Roman" w:cs="Times New Roman"/>
        </w:rPr>
      </w:pPr>
      <w:r w:rsidRPr="00EC00C2">
        <w:rPr>
          <w:rFonts w:ascii="Times New Roman" w:hAnsi="Times New Roman" w:cs="Times New Roman"/>
        </w:rPr>
        <w:t xml:space="preserve">Yürürlük tarihinde açık bulunan ve kredi bakiyesi 15 </w:t>
      </w:r>
      <w:proofErr w:type="spellStart"/>
      <w:r w:rsidRPr="00EC00C2">
        <w:rPr>
          <w:rFonts w:ascii="Times New Roman" w:hAnsi="Times New Roman" w:cs="Times New Roman"/>
        </w:rPr>
        <w:t>mio</w:t>
      </w:r>
      <w:proofErr w:type="spellEnd"/>
      <w:r w:rsidRPr="00EC00C2">
        <w:rPr>
          <w:rFonts w:ascii="Times New Roman" w:hAnsi="Times New Roman" w:cs="Times New Roman"/>
        </w:rPr>
        <w:t xml:space="preserve"> USD dolarının altında olan TR’de yerleşik kişiler tarafından yurtiçinden ve yurtdışından </w:t>
      </w:r>
      <w:r w:rsidR="00A86C77">
        <w:rPr>
          <w:rFonts w:ascii="Times New Roman" w:hAnsi="Times New Roman" w:cs="Times New Roman"/>
        </w:rPr>
        <w:t xml:space="preserve">temin </w:t>
      </w:r>
      <w:r w:rsidRPr="00EC00C2">
        <w:rPr>
          <w:rFonts w:ascii="Times New Roman" w:hAnsi="Times New Roman" w:cs="Times New Roman"/>
        </w:rPr>
        <w:t>edilmiş olan döv</w:t>
      </w:r>
      <w:r>
        <w:rPr>
          <w:rFonts w:ascii="Times New Roman" w:hAnsi="Times New Roman" w:cs="Times New Roman"/>
        </w:rPr>
        <w:t>iz kredileri yukarıda belirtilen istisnalar</w:t>
      </w:r>
      <w:r w:rsidRPr="00EC00C2">
        <w:rPr>
          <w:rFonts w:ascii="Times New Roman" w:hAnsi="Times New Roman" w:cs="Times New Roman"/>
        </w:rPr>
        <w:t xml:space="preserve"> hariç ol</w:t>
      </w:r>
      <w:r>
        <w:rPr>
          <w:rFonts w:ascii="Times New Roman" w:hAnsi="Times New Roman" w:cs="Times New Roman"/>
        </w:rPr>
        <w:t>mak</w:t>
      </w:r>
      <w:r w:rsidRPr="00EC00C2">
        <w:rPr>
          <w:rFonts w:ascii="Times New Roman" w:hAnsi="Times New Roman" w:cs="Times New Roman"/>
        </w:rPr>
        <w:t xml:space="preserve"> üzere </w:t>
      </w:r>
      <w:r>
        <w:rPr>
          <w:rFonts w:ascii="Times New Roman" w:hAnsi="Times New Roman" w:cs="Times New Roman"/>
        </w:rPr>
        <w:t xml:space="preserve">hiçbir </w:t>
      </w:r>
      <w:r w:rsidRPr="00EC00C2">
        <w:rPr>
          <w:rFonts w:ascii="Times New Roman" w:hAnsi="Times New Roman" w:cs="Times New Roman"/>
        </w:rPr>
        <w:t>şekilde döviz kredisi olarak yenilemez</w:t>
      </w:r>
      <w:r>
        <w:rPr>
          <w:rFonts w:ascii="Times New Roman" w:hAnsi="Times New Roman" w:cs="Times New Roman"/>
        </w:rPr>
        <w:t>.</w:t>
      </w:r>
    </w:p>
    <w:p w:rsidR="00FB5834" w:rsidRPr="00EC00C2" w:rsidRDefault="00FB5834" w:rsidP="00FB5834">
      <w:pPr>
        <w:pStyle w:val="ListParagraph"/>
        <w:jc w:val="both"/>
        <w:rPr>
          <w:rFonts w:ascii="Times New Roman" w:hAnsi="Times New Roman" w:cs="Times New Roman"/>
        </w:rPr>
      </w:pPr>
    </w:p>
    <w:p w:rsidR="00FB5834" w:rsidRDefault="00FB5834" w:rsidP="00FB5834">
      <w:pPr>
        <w:pStyle w:val="ListParagraph"/>
        <w:numPr>
          <w:ilvl w:val="0"/>
          <w:numId w:val="22"/>
        </w:numPr>
        <w:jc w:val="both"/>
        <w:rPr>
          <w:rFonts w:ascii="Times New Roman" w:hAnsi="Times New Roman" w:cs="Times New Roman"/>
        </w:rPr>
      </w:pPr>
      <w:r>
        <w:rPr>
          <w:rFonts w:ascii="Times New Roman" w:hAnsi="Times New Roman" w:cs="Times New Roman"/>
        </w:rPr>
        <w:t>Yürürlük tarihinde açık bulunan DEK krediler, hiç</w:t>
      </w:r>
      <w:r w:rsidRPr="00EC00C2">
        <w:rPr>
          <w:rFonts w:ascii="Times New Roman" w:hAnsi="Times New Roman" w:cs="Times New Roman"/>
        </w:rPr>
        <w:t xml:space="preserve">bir şekilde DEK olarak </w:t>
      </w:r>
      <w:r>
        <w:rPr>
          <w:rFonts w:ascii="Times New Roman" w:hAnsi="Times New Roman" w:cs="Times New Roman"/>
        </w:rPr>
        <w:t xml:space="preserve">yenilenemez </w:t>
      </w:r>
      <w:r w:rsidRPr="00EC00C2">
        <w:rPr>
          <w:rFonts w:ascii="Times New Roman" w:hAnsi="Times New Roman" w:cs="Times New Roman"/>
        </w:rPr>
        <w:t xml:space="preserve">veya yukarıdaki </w:t>
      </w:r>
      <w:r>
        <w:rPr>
          <w:rFonts w:ascii="Times New Roman" w:hAnsi="Times New Roman" w:cs="Times New Roman"/>
        </w:rPr>
        <w:t>istisnalar</w:t>
      </w:r>
      <w:r w:rsidRPr="00EC00C2">
        <w:rPr>
          <w:rFonts w:ascii="Times New Roman" w:hAnsi="Times New Roman" w:cs="Times New Roman"/>
        </w:rPr>
        <w:t xml:space="preserve"> hariç</w:t>
      </w:r>
      <w:r>
        <w:rPr>
          <w:rFonts w:ascii="Times New Roman" w:hAnsi="Times New Roman" w:cs="Times New Roman"/>
        </w:rPr>
        <w:t xml:space="preserve"> olmak üzere, hiçb</w:t>
      </w:r>
      <w:r w:rsidRPr="00EC00C2">
        <w:rPr>
          <w:rFonts w:ascii="Times New Roman" w:hAnsi="Times New Roman" w:cs="Times New Roman"/>
        </w:rPr>
        <w:t>ir şekilde döviz kredisi olarak yenilemez</w:t>
      </w:r>
      <w:r>
        <w:rPr>
          <w:rFonts w:ascii="Times New Roman" w:hAnsi="Times New Roman" w:cs="Times New Roman"/>
        </w:rPr>
        <w:t>.</w:t>
      </w:r>
    </w:p>
    <w:p w:rsidR="00FB5834" w:rsidRPr="00FB5834" w:rsidRDefault="00FB5834" w:rsidP="00FB5834">
      <w:pPr>
        <w:pStyle w:val="ListParagraph"/>
        <w:rPr>
          <w:rFonts w:ascii="Times New Roman" w:hAnsi="Times New Roman" w:cs="Times New Roman"/>
        </w:rPr>
      </w:pPr>
    </w:p>
    <w:p w:rsidR="00FB5834" w:rsidRPr="00FB5834" w:rsidRDefault="00FB5834" w:rsidP="00FB5834">
      <w:pPr>
        <w:pStyle w:val="ListParagraph"/>
        <w:numPr>
          <w:ilvl w:val="0"/>
          <w:numId w:val="22"/>
        </w:numPr>
        <w:jc w:val="both"/>
        <w:rPr>
          <w:rFonts w:ascii="Times New Roman" w:hAnsi="Times New Roman" w:cs="Times New Roman"/>
        </w:rPr>
      </w:pPr>
      <w:r w:rsidRPr="00EC00C2">
        <w:rPr>
          <w:rFonts w:ascii="Times New Roman" w:hAnsi="Times New Roman" w:cs="Times New Roman"/>
        </w:rPr>
        <w:t>Yürürlük tarihinden önce kullanılmış olan döviz kredileri kredi bakiyesi hesaplamasına dahil edilir.</w:t>
      </w:r>
    </w:p>
    <w:p w:rsidR="00FB5834" w:rsidRDefault="00FB5834" w:rsidP="00FF0BEF">
      <w:pPr>
        <w:jc w:val="both"/>
        <w:rPr>
          <w:rFonts w:ascii="Times New Roman" w:hAnsi="Times New Roman" w:cs="Times New Roman"/>
        </w:rPr>
      </w:pPr>
    </w:p>
    <w:p w:rsidR="00313726" w:rsidRDefault="00313726" w:rsidP="00FF0BEF">
      <w:pPr>
        <w:jc w:val="both"/>
        <w:rPr>
          <w:rFonts w:ascii="Times New Roman" w:hAnsi="Times New Roman" w:cs="Times New Roman"/>
        </w:rPr>
      </w:pPr>
      <w:r>
        <w:rPr>
          <w:rFonts w:ascii="Times New Roman" w:hAnsi="Times New Roman" w:cs="Times New Roman"/>
        </w:rPr>
        <w:t xml:space="preserve">Karar, 2 Mayıs 2018 tarihinde yürürlüğe girecektir. </w:t>
      </w:r>
    </w:p>
    <w:p w:rsidR="00FB5834" w:rsidRDefault="00FB5834" w:rsidP="00FB5834">
      <w:pPr>
        <w:jc w:val="both"/>
        <w:rPr>
          <w:rFonts w:ascii="Times New Roman" w:hAnsi="Times New Roman" w:cs="Times New Roman"/>
        </w:rPr>
      </w:pPr>
    </w:p>
    <w:p w:rsidR="00FB5834" w:rsidRDefault="00FB5834" w:rsidP="00FB5834">
      <w:pPr>
        <w:jc w:val="both"/>
        <w:rPr>
          <w:rFonts w:ascii="Times New Roman" w:hAnsi="Times New Roman" w:cs="Times New Roman"/>
        </w:rPr>
      </w:pPr>
      <w:r>
        <w:rPr>
          <w:rFonts w:ascii="Times New Roman" w:hAnsi="Times New Roman" w:cs="Times New Roman"/>
        </w:rPr>
        <w:t>Bu çerçevede, vadesi 2 Mayıs 2018’den sonra dolacak döviz ve DEK kredilerinin hızlıca analiz edilerek DEK krediler bu tarihten itibaren DEK olarak yenilenemeyeceği için alınacak aksiyonun belirlenmesi, döviz kredilerinde ise yenileme düşünülüyor ise (15 milyon USD altı ve döviz geliri olmayan firmalarda) 2 Mayıs 2018’e kadar gerekli aksiyonların alınması gereklidir.</w:t>
      </w:r>
    </w:p>
    <w:p w:rsidR="00FB5834" w:rsidRPr="00FB5834" w:rsidRDefault="00FB5834" w:rsidP="00FB5834">
      <w:pPr>
        <w:jc w:val="both"/>
        <w:rPr>
          <w:rFonts w:ascii="Times New Roman" w:hAnsi="Times New Roman" w:cs="Times New Roman"/>
        </w:rPr>
      </w:pPr>
    </w:p>
    <w:p w:rsidR="00097BD9" w:rsidRPr="00045498" w:rsidRDefault="00097BD9" w:rsidP="00FF0BEF">
      <w:pPr>
        <w:jc w:val="both"/>
        <w:rPr>
          <w:rFonts w:ascii="Times New Roman" w:hAnsi="Times New Roman" w:cs="Times New Roman"/>
        </w:rPr>
      </w:pPr>
      <w:r w:rsidRPr="00045498">
        <w:rPr>
          <w:rFonts w:ascii="Times New Roman" w:hAnsi="Times New Roman" w:cs="Times New Roman"/>
        </w:rPr>
        <w:t>Saygılarımızla,</w:t>
      </w:r>
    </w:p>
    <w:p w:rsidR="00097BD9" w:rsidRPr="00045498" w:rsidRDefault="00097BD9" w:rsidP="00FF0BEF">
      <w:pPr>
        <w:jc w:val="both"/>
        <w:rPr>
          <w:rFonts w:ascii="Times New Roman" w:hAnsi="Times New Roman" w:cs="Times New Roman"/>
        </w:rPr>
      </w:pPr>
    </w:p>
    <w:p w:rsidR="00097BD9" w:rsidRPr="00045498" w:rsidRDefault="00097BD9" w:rsidP="00FF0BEF">
      <w:pPr>
        <w:jc w:val="both"/>
        <w:rPr>
          <w:rFonts w:ascii="Times New Roman" w:hAnsi="Times New Roman" w:cs="Times New Roman"/>
        </w:rPr>
      </w:pPr>
      <w:r w:rsidRPr="00045498">
        <w:rPr>
          <w:rFonts w:ascii="Times New Roman" w:hAnsi="Times New Roman" w:cs="Times New Roman"/>
        </w:rPr>
        <w:t>Eratalar YMM Ltd. Şti.</w:t>
      </w:r>
    </w:p>
    <w:bookmarkEnd w:id="0"/>
    <w:p w:rsidR="00097BD9" w:rsidRPr="00045498" w:rsidRDefault="00097BD9" w:rsidP="00FF0BEF">
      <w:pPr>
        <w:jc w:val="both"/>
        <w:rPr>
          <w:rFonts w:ascii="Times New Roman" w:hAnsi="Times New Roman" w:cs="Times New Roman"/>
        </w:rPr>
      </w:pPr>
    </w:p>
    <w:sectPr w:rsidR="00097BD9" w:rsidRPr="00045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080"/>
    <w:multiLevelType w:val="hybridMultilevel"/>
    <w:tmpl w:val="A48646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6DB37F0"/>
    <w:multiLevelType w:val="hybridMultilevel"/>
    <w:tmpl w:val="86CE24FC"/>
    <w:lvl w:ilvl="0" w:tplc="041F0003">
      <w:start w:val="1"/>
      <w:numFmt w:val="bullet"/>
      <w:lvlText w:val="o"/>
      <w:lvlJc w:val="left"/>
      <w:pPr>
        <w:ind w:left="1428" w:hanging="360"/>
      </w:pPr>
      <w:rPr>
        <w:rFonts w:ascii="Courier New" w:hAnsi="Courier New" w:cs="Courier New" w:hint="default"/>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2" w15:restartNumberingAfterBreak="0">
    <w:nsid w:val="0EF80534"/>
    <w:multiLevelType w:val="hybridMultilevel"/>
    <w:tmpl w:val="7C8E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F5358"/>
    <w:multiLevelType w:val="hybridMultilevel"/>
    <w:tmpl w:val="47BC694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4" w15:restartNumberingAfterBreak="0">
    <w:nsid w:val="214174A9"/>
    <w:multiLevelType w:val="hybridMultilevel"/>
    <w:tmpl w:val="B0622854"/>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17511"/>
    <w:multiLevelType w:val="hybridMultilevel"/>
    <w:tmpl w:val="2A08E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10FAA"/>
    <w:multiLevelType w:val="hybridMultilevel"/>
    <w:tmpl w:val="40DA72FE"/>
    <w:lvl w:ilvl="0" w:tplc="2B98EDC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20D19"/>
    <w:multiLevelType w:val="hybridMultilevel"/>
    <w:tmpl w:val="7A72ED5C"/>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63089"/>
    <w:multiLevelType w:val="hybridMultilevel"/>
    <w:tmpl w:val="BEA8D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4E58F6"/>
    <w:multiLevelType w:val="hybridMultilevel"/>
    <w:tmpl w:val="492C9B42"/>
    <w:lvl w:ilvl="0" w:tplc="041F0003">
      <w:start w:val="1"/>
      <w:numFmt w:val="bullet"/>
      <w:lvlText w:val="o"/>
      <w:lvlJc w:val="left"/>
      <w:pPr>
        <w:ind w:left="2148" w:hanging="360"/>
      </w:pPr>
      <w:rPr>
        <w:rFonts w:ascii="Courier New" w:hAnsi="Courier New" w:cs="Courier New" w:hint="default"/>
      </w:rPr>
    </w:lvl>
    <w:lvl w:ilvl="1" w:tplc="041F0003">
      <w:start w:val="1"/>
      <w:numFmt w:val="bullet"/>
      <w:lvlText w:val="o"/>
      <w:lvlJc w:val="left"/>
      <w:pPr>
        <w:ind w:left="2868" w:hanging="360"/>
      </w:pPr>
      <w:rPr>
        <w:rFonts w:ascii="Courier New" w:hAnsi="Courier New" w:cs="Courier New" w:hint="default"/>
      </w:rPr>
    </w:lvl>
    <w:lvl w:ilvl="2" w:tplc="041F0005">
      <w:start w:val="1"/>
      <w:numFmt w:val="bullet"/>
      <w:lvlText w:val=""/>
      <w:lvlJc w:val="left"/>
      <w:pPr>
        <w:ind w:left="3588" w:hanging="360"/>
      </w:pPr>
      <w:rPr>
        <w:rFonts w:ascii="Wingdings" w:hAnsi="Wingdings" w:hint="default"/>
      </w:rPr>
    </w:lvl>
    <w:lvl w:ilvl="3" w:tplc="041F0001">
      <w:start w:val="1"/>
      <w:numFmt w:val="bullet"/>
      <w:lvlText w:val=""/>
      <w:lvlJc w:val="left"/>
      <w:pPr>
        <w:ind w:left="4308" w:hanging="360"/>
      </w:pPr>
      <w:rPr>
        <w:rFonts w:ascii="Symbol" w:hAnsi="Symbol" w:hint="default"/>
      </w:rPr>
    </w:lvl>
    <w:lvl w:ilvl="4" w:tplc="041F0003">
      <w:start w:val="1"/>
      <w:numFmt w:val="bullet"/>
      <w:lvlText w:val="o"/>
      <w:lvlJc w:val="left"/>
      <w:pPr>
        <w:ind w:left="5028" w:hanging="360"/>
      </w:pPr>
      <w:rPr>
        <w:rFonts w:ascii="Courier New" w:hAnsi="Courier New" w:cs="Courier New" w:hint="default"/>
      </w:rPr>
    </w:lvl>
    <w:lvl w:ilvl="5" w:tplc="041F0005">
      <w:start w:val="1"/>
      <w:numFmt w:val="bullet"/>
      <w:lvlText w:val=""/>
      <w:lvlJc w:val="left"/>
      <w:pPr>
        <w:ind w:left="5748" w:hanging="360"/>
      </w:pPr>
      <w:rPr>
        <w:rFonts w:ascii="Wingdings" w:hAnsi="Wingdings" w:hint="default"/>
      </w:rPr>
    </w:lvl>
    <w:lvl w:ilvl="6" w:tplc="041F0001">
      <w:start w:val="1"/>
      <w:numFmt w:val="bullet"/>
      <w:lvlText w:val=""/>
      <w:lvlJc w:val="left"/>
      <w:pPr>
        <w:ind w:left="6468" w:hanging="360"/>
      </w:pPr>
      <w:rPr>
        <w:rFonts w:ascii="Symbol" w:hAnsi="Symbol" w:hint="default"/>
      </w:rPr>
    </w:lvl>
    <w:lvl w:ilvl="7" w:tplc="041F0003">
      <w:start w:val="1"/>
      <w:numFmt w:val="bullet"/>
      <w:lvlText w:val="o"/>
      <w:lvlJc w:val="left"/>
      <w:pPr>
        <w:ind w:left="7188" w:hanging="360"/>
      </w:pPr>
      <w:rPr>
        <w:rFonts w:ascii="Courier New" w:hAnsi="Courier New" w:cs="Courier New" w:hint="default"/>
      </w:rPr>
    </w:lvl>
    <w:lvl w:ilvl="8" w:tplc="041F0005">
      <w:start w:val="1"/>
      <w:numFmt w:val="bullet"/>
      <w:lvlText w:val=""/>
      <w:lvlJc w:val="left"/>
      <w:pPr>
        <w:ind w:left="7908" w:hanging="360"/>
      </w:pPr>
      <w:rPr>
        <w:rFonts w:ascii="Wingdings" w:hAnsi="Wingdings" w:hint="default"/>
      </w:rPr>
    </w:lvl>
  </w:abstractNum>
  <w:abstractNum w:abstractNumId="10" w15:restartNumberingAfterBreak="0">
    <w:nsid w:val="53F05B1A"/>
    <w:multiLevelType w:val="hybridMultilevel"/>
    <w:tmpl w:val="681C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602589"/>
    <w:multiLevelType w:val="hybridMultilevel"/>
    <w:tmpl w:val="BD90ED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122DE4"/>
    <w:multiLevelType w:val="hybridMultilevel"/>
    <w:tmpl w:val="8C52B4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7F80773"/>
    <w:multiLevelType w:val="hybridMultilevel"/>
    <w:tmpl w:val="E60CE3A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231774"/>
    <w:multiLevelType w:val="hybridMultilevel"/>
    <w:tmpl w:val="CCD46C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1FD7367"/>
    <w:multiLevelType w:val="hybridMultilevel"/>
    <w:tmpl w:val="C74AFD80"/>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6" w15:restartNumberingAfterBreak="0">
    <w:nsid w:val="64670123"/>
    <w:multiLevelType w:val="hybridMultilevel"/>
    <w:tmpl w:val="A6A4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132E5"/>
    <w:multiLevelType w:val="hybridMultilevel"/>
    <w:tmpl w:val="5D06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E6CFC"/>
    <w:multiLevelType w:val="hybridMultilevel"/>
    <w:tmpl w:val="9E84BBFE"/>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9726C"/>
    <w:multiLevelType w:val="hybridMultilevel"/>
    <w:tmpl w:val="200824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2"/>
  </w:num>
  <w:num w:numId="9">
    <w:abstractNumId w:val="11"/>
  </w:num>
  <w:num w:numId="10">
    <w:abstractNumId w:val="14"/>
  </w:num>
  <w:num w:numId="11">
    <w:abstractNumId w:val="4"/>
  </w:num>
  <w:num w:numId="12">
    <w:abstractNumId w:val="6"/>
  </w:num>
  <w:num w:numId="13">
    <w:abstractNumId w:val="18"/>
  </w:num>
  <w:num w:numId="14">
    <w:abstractNumId w:val="7"/>
  </w:num>
  <w:num w:numId="15">
    <w:abstractNumId w:val="1"/>
  </w:num>
  <w:num w:numId="16">
    <w:abstractNumId w:val="0"/>
  </w:num>
  <w:num w:numId="17">
    <w:abstractNumId w:val="19"/>
  </w:num>
  <w:num w:numId="18">
    <w:abstractNumId w:val="17"/>
  </w:num>
  <w:num w:numId="19">
    <w:abstractNumId w:val="16"/>
  </w:num>
  <w:num w:numId="20">
    <w:abstractNumId w:val="10"/>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03"/>
    <w:rsid w:val="00015DB5"/>
    <w:rsid w:val="00041FBD"/>
    <w:rsid w:val="00045498"/>
    <w:rsid w:val="00071092"/>
    <w:rsid w:val="000761EF"/>
    <w:rsid w:val="000778B0"/>
    <w:rsid w:val="00085244"/>
    <w:rsid w:val="00090372"/>
    <w:rsid w:val="00097BD9"/>
    <w:rsid w:val="000B2CB7"/>
    <w:rsid w:val="000E1DE1"/>
    <w:rsid w:val="00103128"/>
    <w:rsid w:val="0012000E"/>
    <w:rsid w:val="0016578E"/>
    <w:rsid w:val="001924E6"/>
    <w:rsid w:val="001C2C9C"/>
    <w:rsid w:val="001C7594"/>
    <w:rsid w:val="001E3E21"/>
    <w:rsid w:val="002051DB"/>
    <w:rsid w:val="00276209"/>
    <w:rsid w:val="00294FE6"/>
    <w:rsid w:val="002B2048"/>
    <w:rsid w:val="00313726"/>
    <w:rsid w:val="00330DE2"/>
    <w:rsid w:val="00385993"/>
    <w:rsid w:val="003910FE"/>
    <w:rsid w:val="003A5211"/>
    <w:rsid w:val="003C701C"/>
    <w:rsid w:val="003C77E4"/>
    <w:rsid w:val="003E5FB3"/>
    <w:rsid w:val="003E6988"/>
    <w:rsid w:val="0044090C"/>
    <w:rsid w:val="004A1A8E"/>
    <w:rsid w:val="004C5176"/>
    <w:rsid w:val="00536FCC"/>
    <w:rsid w:val="0054720B"/>
    <w:rsid w:val="0059535B"/>
    <w:rsid w:val="0059768A"/>
    <w:rsid w:val="005C7193"/>
    <w:rsid w:val="005E1E17"/>
    <w:rsid w:val="00613094"/>
    <w:rsid w:val="00616EA4"/>
    <w:rsid w:val="00627D0C"/>
    <w:rsid w:val="006C5551"/>
    <w:rsid w:val="006F3996"/>
    <w:rsid w:val="007234B1"/>
    <w:rsid w:val="00723CEB"/>
    <w:rsid w:val="007520D9"/>
    <w:rsid w:val="00761E44"/>
    <w:rsid w:val="00765591"/>
    <w:rsid w:val="007B77C5"/>
    <w:rsid w:val="008206F3"/>
    <w:rsid w:val="00837071"/>
    <w:rsid w:val="00854C67"/>
    <w:rsid w:val="0086746F"/>
    <w:rsid w:val="00874268"/>
    <w:rsid w:val="008A2A86"/>
    <w:rsid w:val="008A5B6E"/>
    <w:rsid w:val="008B35EA"/>
    <w:rsid w:val="008B7BCA"/>
    <w:rsid w:val="008C5F31"/>
    <w:rsid w:val="008F2073"/>
    <w:rsid w:val="009427CC"/>
    <w:rsid w:val="009639CA"/>
    <w:rsid w:val="00972767"/>
    <w:rsid w:val="009B0A37"/>
    <w:rsid w:val="009B54EA"/>
    <w:rsid w:val="009C5F73"/>
    <w:rsid w:val="00A40A03"/>
    <w:rsid w:val="00A43395"/>
    <w:rsid w:val="00A52EE6"/>
    <w:rsid w:val="00A65C1B"/>
    <w:rsid w:val="00A84AB3"/>
    <w:rsid w:val="00A86C77"/>
    <w:rsid w:val="00AD58A9"/>
    <w:rsid w:val="00B35A07"/>
    <w:rsid w:val="00B41B02"/>
    <w:rsid w:val="00B53577"/>
    <w:rsid w:val="00B6577E"/>
    <w:rsid w:val="00B76ED4"/>
    <w:rsid w:val="00B81045"/>
    <w:rsid w:val="00BB4588"/>
    <w:rsid w:val="00BB4623"/>
    <w:rsid w:val="00BC41D7"/>
    <w:rsid w:val="00C330C2"/>
    <w:rsid w:val="00C55C52"/>
    <w:rsid w:val="00C61590"/>
    <w:rsid w:val="00C63253"/>
    <w:rsid w:val="00C67A6B"/>
    <w:rsid w:val="00C93A0D"/>
    <w:rsid w:val="00CB39F0"/>
    <w:rsid w:val="00CC0D92"/>
    <w:rsid w:val="00CE00C7"/>
    <w:rsid w:val="00CF1468"/>
    <w:rsid w:val="00D14B46"/>
    <w:rsid w:val="00D629C4"/>
    <w:rsid w:val="00DC6C31"/>
    <w:rsid w:val="00DC7E37"/>
    <w:rsid w:val="00E05630"/>
    <w:rsid w:val="00E07E0C"/>
    <w:rsid w:val="00E20B68"/>
    <w:rsid w:val="00E33178"/>
    <w:rsid w:val="00E50B70"/>
    <w:rsid w:val="00E516FD"/>
    <w:rsid w:val="00E5486D"/>
    <w:rsid w:val="00E751E1"/>
    <w:rsid w:val="00E80D6B"/>
    <w:rsid w:val="00EC00C2"/>
    <w:rsid w:val="00EE05B0"/>
    <w:rsid w:val="00F7267F"/>
    <w:rsid w:val="00F80AF0"/>
    <w:rsid w:val="00FB5834"/>
    <w:rsid w:val="00FD63C3"/>
    <w:rsid w:val="00FF0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5841"/>
  <w15:chartTrackingRefBased/>
  <w15:docId w15:val="{8E623B93-1F4B-42E1-BB6E-A7FF7D5F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A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0A03"/>
    <w:pPr>
      <w:spacing w:before="195" w:line="225" w:lineRule="atLeast"/>
    </w:pPr>
    <w:rPr>
      <w:rFonts w:ascii="Arial" w:hAnsi="Arial" w:cs="Arial"/>
      <w:sz w:val="20"/>
      <w:szCs w:val="20"/>
      <w:lang w:eastAsia="tr-TR"/>
    </w:rPr>
  </w:style>
  <w:style w:type="paragraph" w:styleId="ListParagraph">
    <w:name w:val="List Paragraph"/>
    <w:basedOn w:val="Normal"/>
    <w:uiPriority w:val="34"/>
    <w:qFormat/>
    <w:rsid w:val="00A40A03"/>
    <w:pPr>
      <w:ind w:left="720"/>
      <w:contextualSpacing/>
    </w:pPr>
  </w:style>
  <w:style w:type="paragraph" w:customStyle="1" w:styleId="2-OrtaBaslk">
    <w:name w:val="2-Orta Baslık"/>
    <w:basedOn w:val="Normal"/>
    <w:uiPriority w:val="99"/>
    <w:semiHidden/>
    <w:rsid w:val="00A40A03"/>
    <w:pPr>
      <w:jc w:val="center"/>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393749">
      <w:bodyDiv w:val="1"/>
      <w:marLeft w:val="0"/>
      <w:marRight w:val="0"/>
      <w:marTop w:val="0"/>
      <w:marBottom w:val="0"/>
      <w:divBdr>
        <w:top w:val="none" w:sz="0" w:space="0" w:color="auto"/>
        <w:left w:val="none" w:sz="0" w:space="0" w:color="auto"/>
        <w:bottom w:val="none" w:sz="0" w:space="0" w:color="auto"/>
        <w:right w:val="none" w:sz="0" w:space="0" w:color="auto"/>
      </w:divBdr>
    </w:div>
    <w:div w:id="1471944826">
      <w:bodyDiv w:val="1"/>
      <w:marLeft w:val="0"/>
      <w:marRight w:val="0"/>
      <w:marTop w:val="0"/>
      <w:marBottom w:val="0"/>
      <w:divBdr>
        <w:top w:val="none" w:sz="0" w:space="0" w:color="auto"/>
        <w:left w:val="none" w:sz="0" w:space="0" w:color="auto"/>
        <w:bottom w:val="none" w:sz="0" w:space="0" w:color="auto"/>
        <w:right w:val="none" w:sz="0" w:space="0" w:color="auto"/>
      </w:divBdr>
    </w:div>
    <w:div w:id="162569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4654</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Eratalar</cp:lastModifiedBy>
  <cp:revision>13</cp:revision>
  <dcterms:created xsi:type="dcterms:W3CDTF">2017-01-05T06:26:00Z</dcterms:created>
  <dcterms:modified xsi:type="dcterms:W3CDTF">2018-01-30T11:19:00Z</dcterms:modified>
</cp:coreProperties>
</file>