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5EE" w:rsidRDefault="007D15EE" w:rsidP="007D15EE">
      <w:pPr>
        <w:rPr>
          <w:rFonts w:ascii="Times New Roman" w:hAnsi="Times New Roman" w:cs="Times New Roman"/>
          <w:b/>
          <w:bCs/>
          <w:color w:val="548DD4"/>
          <w:sz w:val="24"/>
          <w:szCs w:val="24"/>
          <w:lang w:eastAsia="en-GB"/>
        </w:rPr>
      </w:pPr>
      <w:r>
        <w:rPr>
          <w:rFonts w:ascii="Times New Roman" w:hAnsi="Times New Roman" w:cs="Times New Roman"/>
          <w:b/>
          <w:bCs/>
          <w:color w:val="548DD4"/>
          <w:sz w:val="24"/>
          <w:szCs w:val="24"/>
          <w:lang w:eastAsia="en-GB"/>
        </w:rPr>
        <w:t>2017/9973 Sayılı Bakanlar Kurulu Kararı</w:t>
      </w:r>
    </w:p>
    <w:p w:rsidR="007D15EE" w:rsidRDefault="007D15EE" w:rsidP="007D15EE">
      <w:pPr>
        <w:rPr>
          <w:rFonts w:ascii="Times New Roman" w:hAnsi="Times New Roman" w:cs="Times New Roman"/>
          <w:lang w:eastAsia="en-GB"/>
        </w:rPr>
      </w:pPr>
    </w:p>
    <w:p w:rsidR="007D15EE" w:rsidRDefault="007D15EE" w:rsidP="007D15EE">
      <w:pPr>
        <w:jc w:val="both"/>
        <w:rPr>
          <w:rFonts w:ascii="Times New Roman" w:hAnsi="Times New Roman" w:cs="Times New Roman"/>
          <w:lang w:eastAsia="en-GB"/>
        </w:rPr>
      </w:pPr>
      <w:r>
        <w:rPr>
          <w:rFonts w:ascii="Times New Roman" w:hAnsi="Times New Roman" w:cs="Times New Roman"/>
          <w:i/>
          <w:iCs/>
          <w:lang w:eastAsia="en-GB"/>
        </w:rPr>
        <w:t>488 Sayılı Damga Vergisi Kanununa Ekli (1) Sayılı Tabloda Yer Alan Bazı Kağıtlara İlişkin Damga Vergisi Oranları ve 492 Sayılı Harçlar Kanununa Bağlı (4) Sayılı Tarifede Yer Alan Bazı İşlemler Üzerinden Alınan Harçlar ile Kaynak Kullanımını Destekleme Fonu Kesintisi Hakkında Karar</w:t>
      </w:r>
      <w:r>
        <w:rPr>
          <w:rFonts w:ascii="Times New Roman" w:hAnsi="Times New Roman" w:cs="Times New Roman"/>
          <w:lang w:eastAsia="en-GB"/>
        </w:rPr>
        <w:t xml:space="preserve"> 15 Mart 2017 tarihli 30008 sayılı </w:t>
      </w:r>
      <w:proofErr w:type="gramStart"/>
      <w:r>
        <w:rPr>
          <w:rFonts w:ascii="Times New Roman" w:hAnsi="Times New Roman" w:cs="Times New Roman"/>
          <w:lang w:eastAsia="en-GB"/>
        </w:rPr>
        <w:t>Resmi</w:t>
      </w:r>
      <w:proofErr w:type="gramEnd"/>
      <w:r>
        <w:rPr>
          <w:rFonts w:ascii="Times New Roman" w:hAnsi="Times New Roman" w:cs="Times New Roman"/>
          <w:lang w:eastAsia="en-GB"/>
        </w:rPr>
        <w:t xml:space="preserve"> Gazete</w:t>
      </w:r>
      <w:bookmarkStart w:id="0" w:name="_GoBack"/>
      <w:bookmarkEnd w:id="0"/>
      <w:r>
        <w:rPr>
          <w:rFonts w:ascii="Times New Roman" w:hAnsi="Times New Roman" w:cs="Times New Roman"/>
          <w:lang w:eastAsia="en-GB"/>
        </w:rPr>
        <w:t>’</w:t>
      </w:r>
      <w:r>
        <w:rPr>
          <w:rFonts w:ascii="Times New Roman" w:hAnsi="Times New Roman" w:cs="Times New Roman"/>
          <w:lang w:eastAsia="en-GB"/>
        </w:rPr>
        <w:t xml:space="preserve"> </w:t>
      </w:r>
      <w:r>
        <w:rPr>
          <w:rFonts w:ascii="Times New Roman" w:hAnsi="Times New Roman" w:cs="Times New Roman"/>
          <w:lang w:eastAsia="en-GB"/>
        </w:rPr>
        <w:t>de yayımlanmış olup damga vergisi, harçlar ve KKDF oranlarında aşağıdaki indirimlere yer vermiştir:</w:t>
      </w:r>
    </w:p>
    <w:p w:rsidR="007D15EE" w:rsidRDefault="007D15EE" w:rsidP="007D15EE">
      <w:pPr>
        <w:rPr>
          <w:rFonts w:ascii="Times New Roman" w:hAnsi="Times New Roman" w:cs="Times New Roman"/>
          <w:lang w:eastAsia="en-GB"/>
        </w:rPr>
      </w:pPr>
    </w:p>
    <w:p w:rsidR="007D15EE" w:rsidRDefault="007D15EE" w:rsidP="007D15EE">
      <w:pPr>
        <w:jc w:val="both"/>
        <w:rPr>
          <w:rFonts w:ascii="Times New Roman" w:hAnsi="Times New Roman" w:cs="Times New Roman"/>
          <w:b/>
          <w:bCs/>
          <w:i/>
          <w:iCs/>
          <w:lang w:eastAsia="en-GB"/>
        </w:rPr>
      </w:pPr>
      <w:r>
        <w:rPr>
          <w:rFonts w:ascii="Times New Roman" w:hAnsi="Times New Roman" w:cs="Times New Roman"/>
          <w:b/>
          <w:bCs/>
          <w:i/>
          <w:iCs/>
          <w:lang w:eastAsia="en-GB"/>
        </w:rPr>
        <w:t>Damga Vergisi</w:t>
      </w:r>
    </w:p>
    <w:p w:rsidR="007D15EE" w:rsidRDefault="007D15EE" w:rsidP="007D15EE">
      <w:pPr>
        <w:jc w:val="both"/>
        <w:rPr>
          <w:rFonts w:ascii="Times New Roman" w:hAnsi="Times New Roman" w:cs="Times New Roman"/>
          <w:lang w:eastAsia="en-GB"/>
        </w:rPr>
      </w:pPr>
    </w:p>
    <w:p w:rsidR="007D15EE" w:rsidRDefault="007D15EE" w:rsidP="007D15EE">
      <w:pPr>
        <w:jc w:val="both"/>
        <w:rPr>
          <w:rFonts w:ascii="Times New Roman" w:hAnsi="Times New Roman" w:cs="Times New Roman"/>
          <w:lang w:eastAsia="en-GB"/>
        </w:rPr>
      </w:pPr>
      <w:r>
        <w:rPr>
          <w:rFonts w:ascii="Times New Roman" w:hAnsi="Times New Roman" w:cs="Times New Roman"/>
          <w:lang w:eastAsia="en-GB"/>
        </w:rPr>
        <w:t>Damga vergisi oranı %0,948 olarak uygulanan aşağıdaki sözleşmelerde uygulanacak yeni oran 0’a indirilmiştir:</w:t>
      </w:r>
    </w:p>
    <w:p w:rsidR="007D15EE" w:rsidRDefault="007D15EE" w:rsidP="007D15EE">
      <w:pPr>
        <w:numPr>
          <w:ilvl w:val="0"/>
          <w:numId w:val="1"/>
        </w:numPr>
        <w:jc w:val="both"/>
        <w:rPr>
          <w:rFonts w:ascii="Times New Roman" w:eastAsia="Times New Roman" w:hAnsi="Times New Roman" w:cs="Times New Roman"/>
          <w:lang w:eastAsia="en-GB"/>
        </w:rPr>
      </w:pPr>
      <w:r>
        <w:rPr>
          <w:rFonts w:ascii="Times New Roman" w:eastAsia="Times New Roman" w:hAnsi="Times New Roman" w:cs="Times New Roman"/>
          <w:lang w:eastAsia="en-GB"/>
        </w:rPr>
        <w:t>Resmi şekilde düzenlenen kat karşılığı veya hasılat paylaşımı inşaat sözleşmeleri,</w:t>
      </w:r>
    </w:p>
    <w:p w:rsidR="007D15EE" w:rsidRDefault="007D15EE" w:rsidP="007D15EE">
      <w:pPr>
        <w:numPr>
          <w:ilvl w:val="0"/>
          <w:numId w:val="1"/>
        </w:numPr>
        <w:jc w:val="both"/>
        <w:rPr>
          <w:rFonts w:ascii="Times New Roman" w:eastAsia="Times New Roman" w:hAnsi="Times New Roman" w:cs="Times New Roman"/>
          <w:lang w:eastAsia="en-GB"/>
        </w:rPr>
      </w:pPr>
      <w:r>
        <w:rPr>
          <w:rFonts w:ascii="Times New Roman" w:eastAsia="Times New Roman" w:hAnsi="Times New Roman" w:cs="Times New Roman"/>
          <w:lang w:eastAsia="en-GB"/>
        </w:rPr>
        <w:t>Resmi şekilde düzenlenen kat karşılığı veya hasılat paylaşımı inşaat sözleşmeleri kapsamında yapı müteahhitleri ile alt yükleniciler arasında düzenlenen inşaat taahhüt sözleşmeleri,</w:t>
      </w:r>
    </w:p>
    <w:p w:rsidR="007D15EE" w:rsidRDefault="007D15EE" w:rsidP="007D15EE">
      <w:pPr>
        <w:numPr>
          <w:ilvl w:val="0"/>
          <w:numId w:val="1"/>
        </w:numPr>
        <w:jc w:val="both"/>
        <w:rPr>
          <w:rFonts w:ascii="Times New Roman" w:eastAsia="Times New Roman" w:hAnsi="Times New Roman" w:cs="Times New Roman"/>
          <w:lang w:eastAsia="en-GB"/>
        </w:rPr>
      </w:pPr>
      <w:r>
        <w:rPr>
          <w:rFonts w:ascii="Times New Roman" w:eastAsia="Times New Roman" w:hAnsi="Times New Roman" w:cs="Times New Roman"/>
          <w:lang w:eastAsia="en-GB"/>
        </w:rPr>
        <w:t>Kat karşılığı veya hasılat paylaşımı inşaat işlerine ilişkin danışmanlık hizmet sözleşmeleri,</w:t>
      </w:r>
    </w:p>
    <w:p w:rsidR="007D15EE" w:rsidRDefault="007D15EE" w:rsidP="007D15EE">
      <w:pPr>
        <w:numPr>
          <w:ilvl w:val="0"/>
          <w:numId w:val="1"/>
        </w:numPr>
        <w:jc w:val="both"/>
        <w:rPr>
          <w:rFonts w:ascii="Times New Roman" w:eastAsia="Times New Roman" w:hAnsi="Times New Roman" w:cs="Times New Roman"/>
          <w:b/>
          <w:bCs/>
          <w:lang w:eastAsia="en-GB"/>
        </w:rPr>
      </w:pPr>
      <w:r>
        <w:rPr>
          <w:rFonts w:ascii="Times New Roman" w:eastAsia="Times New Roman" w:hAnsi="Times New Roman" w:cs="Times New Roman"/>
          <w:lang w:eastAsia="en-GB"/>
        </w:rPr>
        <w:t>Yapı denetimi hizmet sözleşmeleri</w:t>
      </w:r>
    </w:p>
    <w:p w:rsidR="007D15EE" w:rsidRDefault="007D15EE" w:rsidP="007D15EE">
      <w:pPr>
        <w:jc w:val="both"/>
        <w:rPr>
          <w:rFonts w:ascii="Times New Roman" w:hAnsi="Times New Roman" w:cs="Times New Roman"/>
          <w:b/>
          <w:bCs/>
          <w:lang w:eastAsia="en-GB"/>
        </w:rPr>
      </w:pPr>
    </w:p>
    <w:p w:rsidR="007D15EE" w:rsidRDefault="007D15EE" w:rsidP="007D15EE">
      <w:pPr>
        <w:jc w:val="both"/>
        <w:rPr>
          <w:rFonts w:ascii="Times New Roman" w:hAnsi="Times New Roman" w:cs="Times New Roman"/>
          <w:b/>
          <w:bCs/>
          <w:i/>
          <w:iCs/>
          <w:lang w:eastAsia="en-GB"/>
        </w:rPr>
      </w:pPr>
      <w:r>
        <w:rPr>
          <w:rFonts w:ascii="Times New Roman" w:hAnsi="Times New Roman" w:cs="Times New Roman"/>
          <w:b/>
          <w:bCs/>
          <w:i/>
          <w:iCs/>
          <w:lang w:eastAsia="en-GB"/>
        </w:rPr>
        <w:t>Harçlar</w:t>
      </w:r>
    </w:p>
    <w:p w:rsidR="007D15EE" w:rsidRDefault="007D15EE" w:rsidP="007D15EE">
      <w:pPr>
        <w:jc w:val="both"/>
        <w:rPr>
          <w:rFonts w:ascii="Times New Roman" w:hAnsi="Times New Roman" w:cs="Times New Roman"/>
          <w:lang w:eastAsia="en-GB"/>
        </w:rPr>
      </w:pPr>
    </w:p>
    <w:p w:rsidR="007D15EE" w:rsidRDefault="007D15EE" w:rsidP="007D15EE">
      <w:pPr>
        <w:jc w:val="both"/>
        <w:rPr>
          <w:rFonts w:ascii="Times New Roman" w:hAnsi="Times New Roman" w:cs="Times New Roman"/>
          <w:lang w:eastAsia="en-GB"/>
        </w:rPr>
      </w:pPr>
      <w:r>
        <w:rPr>
          <w:rFonts w:ascii="Times New Roman" w:hAnsi="Times New Roman" w:cs="Times New Roman"/>
          <w:lang w:eastAsia="en-GB"/>
        </w:rPr>
        <w:t xml:space="preserve">Gayrimenkullerin ivaz karşılığında veya ölünceye kadar bakma akdine dayanarak yahut trampa hükümlerine göre devir ve iktisabında gayrimenkulün beyan edilen devir ve iktisap bedelinden az olmamak üzere emlak vergisi değeri üzerinden (cebrî icra ve şüyuun izalesi hallerinde satış bedeli, istimlaklerde takdir edilen bedel üzerinden) devir eden ve devir alan için ayrı ayrı ödenecek %2’lik harç oranı %1,5 olarak revize edilmiştir. </w:t>
      </w:r>
    </w:p>
    <w:p w:rsidR="007D15EE" w:rsidRDefault="007D15EE" w:rsidP="007D15EE">
      <w:pPr>
        <w:jc w:val="both"/>
        <w:rPr>
          <w:rFonts w:ascii="Times New Roman" w:hAnsi="Times New Roman" w:cs="Times New Roman"/>
          <w:lang w:eastAsia="en-GB"/>
        </w:rPr>
      </w:pPr>
      <w:r>
        <w:rPr>
          <w:rFonts w:ascii="Times New Roman" w:hAnsi="Times New Roman" w:cs="Times New Roman"/>
          <w:lang w:eastAsia="en-GB"/>
        </w:rPr>
        <w:t>  </w:t>
      </w:r>
    </w:p>
    <w:p w:rsidR="007D15EE" w:rsidRDefault="007D15EE" w:rsidP="007D15EE">
      <w:pPr>
        <w:jc w:val="both"/>
        <w:rPr>
          <w:rFonts w:ascii="Times New Roman" w:hAnsi="Times New Roman" w:cs="Times New Roman"/>
          <w:b/>
          <w:bCs/>
          <w:i/>
          <w:iCs/>
          <w:lang w:eastAsia="en-GB"/>
        </w:rPr>
      </w:pPr>
      <w:r>
        <w:rPr>
          <w:rFonts w:ascii="Times New Roman" w:hAnsi="Times New Roman" w:cs="Times New Roman"/>
          <w:b/>
          <w:bCs/>
          <w:i/>
          <w:iCs/>
          <w:lang w:eastAsia="en-GB"/>
        </w:rPr>
        <w:t>KKDF</w:t>
      </w:r>
    </w:p>
    <w:p w:rsidR="007D15EE" w:rsidRDefault="007D15EE" w:rsidP="007D15EE">
      <w:pPr>
        <w:ind w:left="720"/>
        <w:jc w:val="both"/>
        <w:rPr>
          <w:rFonts w:ascii="Times New Roman" w:hAnsi="Times New Roman" w:cs="Times New Roman"/>
          <w:lang w:eastAsia="en-GB"/>
        </w:rPr>
      </w:pPr>
    </w:p>
    <w:p w:rsidR="007D15EE" w:rsidRDefault="007D15EE" w:rsidP="007D15EE">
      <w:pPr>
        <w:jc w:val="both"/>
        <w:rPr>
          <w:rFonts w:ascii="Times New Roman" w:hAnsi="Times New Roman" w:cs="Times New Roman"/>
          <w:lang w:eastAsia="en-GB"/>
        </w:rPr>
      </w:pPr>
      <w:r>
        <w:rPr>
          <w:rFonts w:ascii="Times New Roman" w:hAnsi="Times New Roman" w:cs="Times New Roman"/>
          <w:lang w:eastAsia="en-GB"/>
        </w:rPr>
        <w:t xml:space="preserve">Bankalar ve finansman şirketleri dışında, Türkiye’de yerleşik kişilerin yurt dışından sağladıkları </w:t>
      </w:r>
      <w:r>
        <w:rPr>
          <w:rFonts w:ascii="Times New Roman" w:hAnsi="Times New Roman" w:cs="Times New Roman"/>
          <w:u w:val="single"/>
          <w:lang w:eastAsia="en-GB"/>
        </w:rPr>
        <w:t>Türk Lirası</w:t>
      </w:r>
      <w:r>
        <w:rPr>
          <w:rFonts w:ascii="Times New Roman" w:hAnsi="Times New Roman" w:cs="Times New Roman"/>
          <w:lang w:eastAsia="en-GB"/>
        </w:rPr>
        <w:t xml:space="preserve"> kredilerde (</w:t>
      </w:r>
      <w:proofErr w:type="spellStart"/>
      <w:r>
        <w:rPr>
          <w:rFonts w:ascii="Times New Roman" w:hAnsi="Times New Roman" w:cs="Times New Roman"/>
          <w:lang w:eastAsia="en-GB"/>
        </w:rPr>
        <w:t>fiduciary</w:t>
      </w:r>
      <w:proofErr w:type="spellEnd"/>
      <w:r>
        <w:rPr>
          <w:rFonts w:ascii="Times New Roman" w:hAnsi="Times New Roman" w:cs="Times New Roman"/>
          <w:lang w:eastAsia="en-GB"/>
        </w:rPr>
        <w:t xml:space="preserve"> işlemler hariç) KKDF kesintisi oranı ortalama vadesi bir yıla kadar olanlarda %1, bir yıl ve üzeri olanlarda ise %0 olarak tespit edilmiştir.</w:t>
      </w:r>
    </w:p>
    <w:p w:rsidR="003C7B16" w:rsidRDefault="007D15EE"/>
    <w:sectPr w:rsidR="003C7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429BF"/>
    <w:multiLevelType w:val="hybridMultilevel"/>
    <w:tmpl w:val="87FAF2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5EE"/>
    <w:rsid w:val="00252D4C"/>
    <w:rsid w:val="007D15EE"/>
    <w:rsid w:val="00CC3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BC02"/>
  <w15:chartTrackingRefBased/>
  <w15:docId w15:val="{CA6BAE5A-A74F-437C-9B49-0EEF591D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D15EE"/>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4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ERATALAR YMM</dc:creator>
  <cp:keywords/>
  <dc:description/>
  <cp:lastModifiedBy>ERATALAR YMM</cp:lastModifiedBy>
  <cp:revision>2</cp:revision>
  <dcterms:created xsi:type="dcterms:W3CDTF">2017-03-15T07:25:00Z</dcterms:created>
  <dcterms:modified xsi:type="dcterms:W3CDTF">2017-03-15T07:25:00Z</dcterms:modified>
</cp:coreProperties>
</file>