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4F" w:rsidRDefault="00887E4F" w:rsidP="00887E4F">
      <w:pPr>
        <w:rPr>
          <w:rFonts w:ascii="Times New Roman" w:hAnsi="Times New Roman" w:cs="Times New Roman"/>
          <w:lang w:eastAsia="en-GB"/>
        </w:rPr>
      </w:pPr>
      <w:r>
        <w:rPr>
          <w:rFonts w:ascii="Times New Roman" w:hAnsi="Times New Roman" w:cs="Times New Roman"/>
          <w:b/>
          <w:bCs/>
          <w:color w:val="548DD4"/>
          <w:sz w:val="24"/>
          <w:szCs w:val="24"/>
          <w:lang w:eastAsia="en-GB"/>
        </w:rPr>
        <w:t xml:space="preserve">91 Seri </w:t>
      </w:r>
      <w:proofErr w:type="spellStart"/>
      <w:r>
        <w:rPr>
          <w:rFonts w:ascii="Times New Roman" w:hAnsi="Times New Roman" w:cs="Times New Roman"/>
          <w:b/>
          <w:bCs/>
          <w:color w:val="548DD4"/>
          <w:sz w:val="24"/>
          <w:szCs w:val="24"/>
          <w:lang w:eastAsia="en-GB"/>
        </w:rPr>
        <w:t>no’lu</w:t>
      </w:r>
      <w:proofErr w:type="spellEnd"/>
      <w:r>
        <w:rPr>
          <w:rFonts w:ascii="Times New Roman" w:hAnsi="Times New Roman" w:cs="Times New Roman"/>
          <w:b/>
          <w:bCs/>
          <w:color w:val="548DD4"/>
          <w:sz w:val="24"/>
          <w:szCs w:val="24"/>
          <w:lang w:eastAsia="en-GB"/>
        </w:rPr>
        <w:t xml:space="preserve"> Gider Vergileri Genel Tebliği </w:t>
      </w:r>
    </w:p>
    <w:p w:rsidR="00887E4F" w:rsidRDefault="00887E4F" w:rsidP="00887E4F">
      <w:pPr>
        <w:rPr>
          <w:rFonts w:ascii="Times New Roman" w:hAnsi="Times New Roman" w:cs="Times New Roman"/>
          <w:lang w:eastAsia="en-GB"/>
        </w:rPr>
      </w:pPr>
    </w:p>
    <w:p w:rsidR="00887E4F" w:rsidRDefault="00887E4F" w:rsidP="00887E4F">
      <w:pPr>
        <w:jc w:val="both"/>
        <w:rPr>
          <w:rFonts w:ascii="Times New Roman" w:hAnsi="Times New Roman" w:cs="Times New Roman"/>
          <w:lang w:eastAsia="en-GB"/>
        </w:rPr>
      </w:pPr>
      <w:r>
        <w:rPr>
          <w:rFonts w:ascii="Times New Roman" w:hAnsi="Times New Roman" w:cs="Times New Roman"/>
          <w:lang w:eastAsia="en-GB"/>
        </w:rPr>
        <w:t xml:space="preserve">İlgili Tebliğ 11 Mart 2017 tarihli 30004 sayılı </w:t>
      </w:r>
      <w:proofErr w:type="gramStart"/>
      <w:r>
        <w:rPr>
          <w:rFonts w:ascii="Times New Roman" w:hAnsi="Times New Roman" w:cs="Times New Roman"/>
          <w:lang w:eastAsia="en-GB"/>
        </w:rPr>
        <w:t>Resmi</w:t>
      </w:r>
      <w:proofErr w:type="gramEnd"/>
      <w:r>
        <w:rPr>
          <w:rFonts w:ascii="Times New Roman" w:hAnsi="Times New Roman" w:cs="Times New Roman"/>
          <w:lang w:eastAsia="en-GB"/>
        </w:rPr>
        <w:t xml:space="preserve"> </w:t>
      </w:r>
      <w:proofErr w:type="spellStart"/>
      <w:r>
        <w:rPr>
          <w:rFonts w:ascii="Times New Roman" w:hAnsi="Times New Roman" w:cs="Times New Roman"/>
          <w:lang w:eastAsia="en-GB"/>
        </w:rPr>
        <w:t>Gazete’de</w:t>
      </w:r>
      <w:proofErr w:type="spellEnd"/>
      <w:r>
        <w:rPr>
          <w:rFonts w:ascii="Times New Roman" w:hAnsi="Times New Roman" w:cs="Times New Roman"/>
          <w:lang w:eastAsia="en-GB"/>
        </w:rPr>
        <w:t xml:space="preserve"> yayımlan olup 6493 sayılı Ödeme ve Menkul Kıymet Mutabakat Sistemleri, Ödeme Hizmetleri ve Elektronik Para Kuruluşları Hakkında Kanun uyarınca BDDK’dan alınan faaliyet izni ile faaliyet gösteren ve bu kanun hükümlerine göre faaliyette bulunan elektronik para ve ödeme kuruluşları ile bu kuruluşların şube veya temsilcilerince yapılan ödeme hizmetlerinin vergilendirilmesine ilişkin açıklamalara yer verilmiştir.</w:t>
      </w:r>
    </w:p>
    <w:p w:rsidR="00887E4F" w:rsidRDefault="00887E4F" w:rsidP="00887E4F">
      <w:pPr>
        <w:rPr>
          <w:rFonts w:ascii="Times New Roman" w:hAnsi="Times New Roman" w:cs="Times New Roman"/>
          <w:lang w:eastAsia="en-GB"/>
        </w:rPr>
      </w:pPr>
    </w:p>
    <w:p w:rsidR="00887E4F" w:rsidRDefault="00887E4F" w:rsidP="00887E4F">
      <w:pPr>
        <w:jc w:val="both"/>
        <w:rPr>
          <w:rFonts w:ascii="Times New Roman" w:hAnsi="Times New Roman" w:cs="Times New Roman"/>
          <w:lang w:eastAsia="en-GB"/>
        </w:rPr>
      </w:pPr>
      <w:r>
        <w:rPr>
          <w:rFonts w:ascii="Times New Roman" w:hAnsi="Times New Roman" w:cs="Times New Roman"/>
          <w:lang w:eastAsia="en-GB"/>
        </w:rPr>
        <w:t>Gider Vergileri Tebliği (Seri No:91)’</w:t>
      </w:r>
      <w:proofErr w:type="spellStart"/>
      <w:r>
        <w:rPr>
          <w:rFonts w:ascii="Times New Roman" w:hAnsi="Times New Roman" w:cs="Times New Roman"/>
          <w:lang w:eastAsia="en-GB"/>
        </w:rPr>
        <w:t>nde</w:t>
      </w:r>
      <w:proofErr w:type="spellEnd"/>
      <w:r>
        <w:rPr>
          <w:rFonts w:ascii="Times New Roman" w:hAnsi="Times New Roman" w:cs="Times New Roman"/>
          <w:lang w:eastAsia="en-GB"/>
        </w:rPr>
        <w:t xml:space="preserve"> yer alan başlıklar ve açıklamalara aşağıda yer verilmiştir:</w:t>
      </w:r>
    </w:p>
    <w:p w:rsidR="00887E4F" w:rsidRDefault="00887E4F" w:rsidP="00887E4F">
      <w:pPr>
        <w:jc w:val="both"/>
        <w:rPr>
          <w:rFonts w:ascii="Times New Roman" w:hAnsi="Times New Roman" w:cs="Times New Roman"/>
          <w:lang w:eastAsia="en-GB"/>
        </w:rPr>
      </w:pPr>
    </w:p>
    <w:p w:rsidR="00887E4F" w:rsidRDefault="00887E4F" w:rsidP="00887E4F">
      <w:pPr>
        <w:numPr>
          <w:ilvl w:val="0"/>
          <w:numId w:val="1"/>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Elektronik Para ve Ödeme Kuruluşlarının Mükellefiyeti ve Matrahı </w:t>
      </w:r>
    </w:p>
    <w:p w:rsidR="00887E4F" w:rsidRDefault="00887E4F" w:rsidP="00887E4F">
      <w:pPr>
        <w:ind w:left="720"/>
        <w:jc w:val="both"/>
        <w:rPr>
          <w:rFonts w:ascii="Times New Roman" w:hAnsi="Times New Roman" w:cs="Times New Roman"/>
          <w:lang w:eastAsia="en-GB"/>
        </w:rPr>
      </w:pPr>
    </w:p>
    <w:p w:rsidR="00887E4F" w:rsidRDefault="00887E4F" w:rsidP="00887E4F">
      <w:pPr>
        <w:numPr>
          <w:ilvl w:val="0"/>
          <w:numId w:val="1"/>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Ödeme Hizmetlerinin Vergilendirilmesi</w:t>
      </w:r>
    </w:p>
    <w:p w:rsidR="00887E4F" w:rsidRDefault="00887E4F" w:rsidP="00887E4F">
      <w:pPr>
        <w:ind w:left="720"/>
        <w:jc w:val="both"/>
        <w:rPr>
          <w:rFonts w:ascii="Times New Roman" w:hAnsi="Times New Roman" w:cs="Times New Roman"/>
          <w:b/>
          <w:bCs/>
          <w:lang w:eastAsia="en-GB"/>
        </w:rPr>
      </w:pPr>
    </w:p>
    <w:p w:rsidR="00887E4F" w:rsidRDefault="00887E4F" w:rsidP="00887E4F">
      <w:pPr>
        <w:numPr>
          <w:ilvl w:val="0"/>
          <w:numId w:val="2"/>
        </w:numPr>
        <w:jc w:val="both"/>
        <w:rPr>
          <w:rFonts w:ascii="Times New Roman" w:hAnsi="Times New Roman" w:cs="Times New Roman"/>
          <w:lang w:eastAsia="en-GB"/>
        </w:rPr>
      </w:pPr>
      <w:r>
        <w:rPr>
          <w:rFonts w:ascii="Times New Roman" w:hAnsi="Times New Roman" w:cs="Times New Roman"/>
          <w:lang w:eastAsia="en-GB"/>
        </w:rPr>
        <w:t>Sanal POS hizmetlerinde vergilendirme ve matrah,</w:t>
      </w:r>
    </w:p>
    <w:p w:rsidR="00887E4F" w:rsidRDefault="00887E4F" w:rsidP="00887E4F">
      <w:pPr>
        <w:numPr>
          <w:ilvl w:val="0"/>
          <w:numId w:val="2"/>
        </w:numPr>
        <w:jc w:val="both"/>
        <w:rPr>
          <w:rFonts w:ascii="Times New Roman" w:hAnsi="Times New Roman" w:cs="Times New Roman"/>
          <w:lang w:eastAsia="en-GB"/>
        </w:rPr>
      </w:pPr>
      <w:r>
        <w:rPr>
          <w:rFonts w:ascii="Times New Roman" w:hAnsi="Times New Roman" w:cs="Times New Roman"/>
          <w:lang w:eastAsia="en-GB"/>
        </w:rPr>
        <w:t>Elektronik para ihracına ilişkin ödeme hizmetlerinde vergilendirme ve matrah,</w:t>
      </w:r>
    </w:p>
    <w:p w:rsidR="00887E4F" w:rsidRDefault="00887E4F" w:rsidP="00887E4F">
      <w:pPr>
        <w:numPr>
          <w:ilvl w:val="0"/>
          <w:numId w:val="2"/>
        </w:numPr>
        <w:jc w:val="both"/>
        <w:rPr>
          <w:rFonts w:ascii="Times New Roman" w:hAnsi="Times New Roman" w:cs="Times New Roman"/>
          <w:lang w:eastAsia="en-GB"/>
        </w:rPr>
      </w:pPr>
      <w:r>
        <w:rPr>
          <w:rFonts w:ascii="Times New Roman" w:hAnsi="Times New Roman" w:cs="Times New Roman"/>
          <w:lang w:eastAsia="en-GB"/>
        </w:rPr>
        <w:t>Para havalesi hizmetlerinde vergilendirme ve matrah,</w:t>
      </w:r>
    </w:p>
    <w:p w:rsidR="00887E4F" w:rsidRDefault="00887E4F" w:rsidP="00887E4F">
      <w:pPr>
        <w:numPr>
          <w:ilvl w:val="0"/>
          <w:numId w:val="2"/>
        </w:numPr>
        <w:jc w:val="both"/>
        <w:rPr>
          <w:rFonts w:ascii="Times New Roman" w:hAnsi="Times New Roman" w:cs="Times New Roman"/>
          <w:lang w:eastAsia="en-GB"/>
        </w:rPr>
      </w:pPr>
      <w:r>
        <w:rPr>
          <w:rFonts w:ascii="Times New Roman" w:hAnsi="Times New Roman" w:cs="Times New Roman"/>
          <w:lang w:eastAsia="en-GB"/>
        </w:rPr>
        <w:t>Mobil ödeme hizmetlerinde vergilendirme ve matrah,</w:t>
      </w:r>
    </w:p>
    <w:p w:rsidR="00887E4F" w:rsidRDefault="00887E4F" w:rsidP="00887E4F">
      <w:pPr>
        <w:numPr>
          <w:ilvl w:val="0"/>
          <w:numId w:val="2"/>
        </w:numPr>
        <w:jc w:val="both"/>
        <w:rPr>
          <w:rFonts w:ascii="Times New Roman" w:hAnsi="Times New Roman" w:cs="Times New Roman"/>
          <w:lang w:eastAsia="en-GB"/>
        </w:rPr>
      </w:pPr>
      <w:r>
        <w:rPr>
          <w:rFonts w:ascii="Times New Roman" w:hAnsi="Times New Roman" w:cs="Times New Roman"/>
          <w:lang w:eastAsia="en-GB"/>
        </w:rPr>
        <w:t>Fatura ödemelerine aracılık hizmetlerinde vergilendirme ve matrah</w:t>
      </w:r>
    </w:p>
    <w:p w:rsidR="00887E4F" w:rsidRDefault="00887E4F" w:rsidP="00887E4F">
      <w:pPr>
        <w:jc w:val="both"/>
        <w:rPr>
          <w:rFonts w:ascii="Times New Roman" w:hAnsi="Times New Roman" w:cs="Times New Roman"/>
          <w:lang w:eastAsia="en-GB"/>
        </w:rPr>
      </w:pPr>
    </w:p>
    <w:p w:rsidR="00887E4F" w:rsidRDefault="00887E4F" w:rsidP="00887E4F">
      <w:pPr>
        <w:numPr>
          <w:ilvl w:val="0"/>
          <w:numId w:val="3"/>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Elektronik Para ve Ödeme Kuruluşlarının Şubeleri Tarafından Verilen Ödeme Hizmetlerinin Beyanı, </w:t>
      </w:r>
    </w:p>
    <w:p w:rsidR="00887E4F" w:rsidRDefault="00887E4F" w:rsidP="00887E4F">
      <w:pPr>
        <w:ind w:left="720"/>
        <w:jc w:val="both"/>
        <w:rPr>
          <w:rFonts w:ascii="Times New Roman" w:hAnsi="Times New Roman" w:cs="Times New Roman"/>
          <w:lang w:eastAsia="en-GB"/>
        </w:rPr>
      </w:pPr>
    </w:p>
    <w:p w:rsidR="00887E4F" w:rsidRDefault="00887E4F" w:rsidP="00887E4F">
      <w:pPr>
        <w:numPr>
          <w:ilvl w:val="0"/>
          <w:numId w:val="4"/>
        </w:numPr>
        <w:jc w:val="both"/>
        <w:rPr>
          <w:rFonts w:ascii="Times New Roman" w:hAnsi="Times New Roman" w:cs="Times New Roman"/>
          <w:lang w:eastAsia="en-GB"/>
        </w:rPr>
      </w:pPr>
      <w:r>
        <w:rPr>
          <w:rFonts w:ascii="Times New Roman" w:hAnsi="Times New Roman" w:cs="Times New Roman"/>
          <w:lang w:eastAsia="en-GB"/>
        </w:rPr>
        <w:t>Elektronik para ve ödeme kuruluşlarının şubeleri tarafından yapılan işlemler dolayısıyla verilmesi gereken Hizmet Vergisi (Banka Muameleleri Vergisi) Beyannamelerinin, genel merkezlerince bağlı bulundukları vergi dairesine verilecektir.</w:t>
      </w:r>
    </w:p>
    <w:p w:rsidR="00887E4F" w:rsidRDefault="00887E4F" w:rsidP="00887E4F">
      <w:pPr>
        <w:numPr>
          <w:ilvl w:val="0"/>
          <w:numId w:val="4"/>
        </w:numPr>
        <w:jc w:val="both"/>
        <w:rPr>
          <w:rFonts w:ascii="Times New Roman" w:hAnsi="Times New Roman" w:cs="Times New Roman"/>
          <w:lang w:eastAsia="en-GB"/>
        </w:rPr>
      </w:pPr>
      <w:r>
        <w:rPr>
          <w:rFonts w:ascii="Times New Roman" w:hAnsi="Times New Roman" w:cs="Times New Roman"/>
          <w:lang w:eastAsia="en-GB"/>
        </w:rPr>
        <w:t>Elektronik para ve ödeme kuruluşlarının bu Tebliğin yürürlüğünden önce ödeme hizmetlerine ilişkin faaliyetleri dolayısıyla açılan sürekli KDV mükellefiyet kayıtlarının bu Tebliğin yayımını izleyen ayın sonuna kadar kapatılması gerekmektedir.</w:t>
      </w:r>
    </w:p>
    <w:p w:rsidR="003C7B16" w:rsidRDefault="00887E4F">
      <w:bookmarkStart w:id="0" w:name="_GoBack"/>
      <w:bookmarkEnd w:id="0"/>
    </w:p>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29BF"/>
    <w:multiLevelType w:val="hybridMultilevel"/>
    <w:tmpl w:val="87FAF2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2CA23D3"/>
    <w:multiLevelType w:val="hybridMultilevel"/>
    <w:tmpl w:val="34C6DA94"/>
    <w:lvl w:ilvl="0" w:tplc="041F000B">
      <w:start w:val="1"/>
      <w:numFmt w:val="bullet"/>
      <w:lvlText w:val=""/>
      <w:lvlJc w:val="left"/>
      <w:pPr>
        <w:ind w:left="1428" w:hanging="360"/>
      </w:pPr>
      <w:rPr>
        <w:rFonts w:ascii="Wingdings" w:hAnsi="Wingdings" w:hint="default"/>
      </w:rPr>
    </w:lvl>
    <w:lvl w:ilvl="1" w:tplc="041F0003">
      <w:start w:val="1"/>
      <w:numFmt w:val="bullet"/>
      <w:lvlText w:val="o"/>
      <w:lvlJc w:val="left"/>
      <w:pPr>
        <w:ind w:left="2148" w:hanging="360"/>
      </w:pPr>
      <w:rPr>
        <w:rFonts w:ascii="Courier New" w:hAnsi="Courier New" w:cs="Times New Roman"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Times New Roman"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Times New Roman" w:hint="default"/>
      </w:rPr>
    </w:lvl>
    <w:lvl w:ilvl="8" w:tplc="041F0005">
      <w:start w:val="1"/>
      <w:numFmt w:val="bullet"/>
      <w:lvlText w:val=""/>
      <w:lvlJc w:val="left"/>
      <w:pPr>
        <w:ind w:left="7188" w:hanging="360"/>
      </w:pPr>
      <w:rPr>
        <w:rFonts w:ascii="Wingdings" w:hAnsi="Wingdings" w:hint="default"/>
      </w:rPr>
    </w:lvl>
  </w:abstractNum>
  <w:abstractNum w:abstractNumId="2" w15:restartNumberingAfterBreak="0">
    <w:nsid w:val="52850453"/>
    <w:multiLevelType w:val="hybridMultilevel"/>
    <w:tmpl w:val="124AF4FE"/>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Times New Roman"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Times New Roman"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Times New Roman" w:hint="default"/>
      </w:rPr>
    </w:lvl>
    <w:lvl w:ilvl="8" w:tplc="041F0005">
      <w:start w:val="1"/>
      <w:numFmt w:val="bullet"/>
      <w:lvlText w:val=""/>
      <w:lvlJc w:val="left"/>
      <w:pPr>
        <w:ind w:left="7200" w:hanging="360"/>
      </w:pPr>
      <w:rPr>
        <w:rFonts w:ascii="Wingdings" w:hAnsi="Wingdings" w:hint="default"/>
      </w:rPr>
    </w:lvl>
  </w:abstractNum>
  <w:abstractNum w:abstractNumId="3" w15:restartNumberingAfterBreak="0">
    <w:nsid w:val="560659BC"/>
    <w:multiLevelType w:val="hybridMultilevel"/>
    <w:tmpl w:val="58E0DA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4F"/>
    <w:rsid w:val="00252D4C"/>
    <w:rsid w:val="00887E4F"/>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429EF-16A5-4A47-AD19-28F11B2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7E4F"/>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2</cp:revision>
  <dcterms:created xsi:type="dcterms:W3CDTF">2017-03-13T11:28:00Z</dcterms:created>
  <dcterms:modified xsi:type="dcterms:W3CDTF">2017-03-13T11:29:00Z</dcterms:modified>
</cp:coreProperties>
</file>