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0D7" w:rsidRPr="007320D7" w:rsidRDefault="007320D7" w:rsidP="007320D7">
      <w:pPr>
        <w:spacing w:line="240" w:lineRule="exact"/>
        <w:jc w:val="both"/>
        <w:rPr>
          <w:rFonts w:ascii="Times New Roman" w:eastAsia="ヒラギノ明朝 Pro W3" w:hAnsi="Times"/>
          <w:b/>
          <w:color w:val="548DD4"/>
          <w:sz w:val="26"/>
          <w:szCs w:val="26"/>
        </w:rPr>
      </w:pPr>
      <w:bookmarkStart w:id="0" w:name="_GoBack"/>
      <w:bookmarkEnd w:id="0"/>
      <w:r w:rsidRPr="007320D7">
        <w:rPr>
          <w:rFonts w:ascii="Times New Roman" w:eastAsia="ヒラギノ明朝 Pro W3" w:hAnsi="Times"/>
          <w:b/>
          <w:color w:val="548DD4"/>
          <w:sz w:val="26"/>
          <w:szCs w:val="26"/>
        </w:rPr>
        <w:t>201</w:t>
      </w:r>
      <w:r w:rsidR="006C76D8">
        <w:rPr>
          <w:rFonts w:ascii="Times New Roman" w:eastAsia="ヒラギノ明朝 Pro W3" w:hAnsi="Times"/>
          <w:b/>
          <w:color w:val="548DD4"/>
          <w:sz w:val="26"/>
          <w:szCs w:val="26"/>
        </w:rPr>
        <w:t>7</w:t>
      </w:r>
      <w:r w:rsidRPr="007320D7">
        <w:rPr>
          <w:rFonts w:ascii="Times New Roman" w:eastAsia="ヒラギノ明朝 Pro W3" w:hAnsi="Times"/>
          <w:b/>
          <w:color w:val="548DD4"/>
          <w:sz w:val="26"/>
          <w:szCs w:val="26"/>
        </w:rPr>
        <w:t xml:space="preserve"> Y</w:t>
      </w:r>
      <w:r w:rsidRPr="007320D7">
        <w:rPr>
          <w:rFonts w:ascii="Times New Roman" w:eastAsia="ヒラギノ明朝 Pro W3" w:hAnsi="Times"/>
          <w:b/>
          <w:color w:val="548DD4"/>
          <w:sz w:val="26"/>
          <w:szCs w:val="26"/>
        </w:rPr>
        <w:t>ı</w:t>
      </w:r>
      <w:r w:rsidRPr="007320D7">
        <w:rPr>
          <w:rFonts w:ascii="Times New Roman" w:eastAsia="ヒラギノ明朝 Pro W3" w:hAnsi="Times"/>
          <w:b/>
          <w:color w:val="548DD4"/>
          <w:sz w:val="26"/>
          <w:szCs w:val="26"/>
        </w:rPr>
        <w:t>l</w:t>
      </w:r>
      <w:r w:rsidRPr="007320D7">
        <w:rPr>
          <w:rFonts w:ascii="Times New Roman" w:eastAsia="ヒラギノ明朝 Pro W3" w:hAnsi="Times"/>
          <w:b/>
          <w:color w:val="548DD4"/>
          <w:sz w:val="26"/>
          <w:szCs w:val="26"/>
        </w:rPr>
        <w:t>ı</w:t>
      </w:r>
      <w:r w:rsidRPr="007320D7">
        <w:rPr>
          <w:rFonts w:ascii="Times New Roman" w:eastAsia="ヒラギノ明朝 Pro W3" w:hAnsi="Times"/>
          <w:b/>
          <w:color w:val="548DD4"/>
          <w:sz w:val="26"/>
          <w:szCs w:val="26"/>
        </w:rPr>
        <w:t>nda Uygulanacak Had ve Tutarlar</w:t>
      </w:r>
    </w:p>
    <w:p w:rsidR="00FC5A30" w:rsidRPr="00423657" w:rsidRDefault="00FC5A30" w:rsidP="00FC5A30">
      <w:pPr>
        <w:rPr>
          <w:rFonts w:ascii="Times New Roman" w:hAnsi="Times New Roman"/>
        </w:rPr>
      </w:pPr>
    </w:p>
    <w:p w:rsidR="00F52A10" w:rsidRPr="00423657" w:rsidRDefault="00FE36A0" w:rsidP="00074450">
      <w:pPr>
        <w:rPr>
          <w:rFonts w:ascii="Times New Roman" w:hAnsi="Times New Roman"/>
        </w:rPr>
      </w:pPr>
      <w:r>
        <w:rPr>
          <w:rFonts w:ascii="Times New Roman" w:hAnsi="Times New Roman"/>
        </w:rPr>
        <w:t>27.12.2016 tarihli ve 29931</w:t>
      </w:r>
      <w:r w:rsidR="00935B2E" w:rsidRPr="00423657">
        <w:rPr>
          <w:rFonts w:ascii="Times New Roman" w:hAnsi="Times New Roman"/>
        </w:rPr>
        <w:t xml:space="preserve"> sayılı</w:t>
      </w:r>
      <w:r w:rsidR="00D61D9A" w:rsidRPr="00423657">
        <w:rPr>
          <w:rFonts w:ascii="Times New Roman" w:hAnsi="Times New Roman"/>
        </w:rPr>
        <w:t xml:space="preserve"> Resmi </w:t>
      </w:r>
      <w:proofErr w:type="spellStart"/>
      <w:r w:rsidR="00935B2E" w:rsidRPr="00423657">
        <w:rPr>
          <w:rFonts w:ascii="Times New Roman" w:hAnsi="Times New Roman"/>
        </w:rPr>
        <w:t>Gazete’de</w:t>
      </w:r>
      <w:proofErr w:type="spellEnd"/>
      <w:r w:rsidR="00935B2E" w:rsidRPr="00423657">
        <w:rPr>
          <w:rFonts w:ascii="Times New Roman" w:hAnsi="Times New Roman"/>
        </w:rPr>
        <w:t xml:space="preserve"> yayım</w:t>
      </w:r>
      <w:r w:rsidR="00D61D9A" w:rsidRPr="00423657">
        <w:rPr>
          <w:rFonts w:ascii="Times New Roman" w:hAnsi="Times New Roman"/>
        </w:rPr>
        <w:t xml:space="preserve">lanan tebliğler ile </w:t>
      </w:r>
      <w:r w:rsidR="00992398" w:rsidRPr="00423657">
        <w:rPr>
          <w:rFonts w:ascii="Times New Roman" w:hAnsi="Times New Roman"/>
        </w:rPr>
        <w:t>201</w:t>
      </w:r>
      <w:r w:rsidR="006C76D8">
        <w:rPr>
          <w:rFonts w:ascii="Times New Roman" w:hAnsi="Times New Roman"/>
        </w:rPr>
        <w:t>7</w:t>
      </w:r>
      <w:r w:rsidR="00F52A10" w:rsidRPr="00423657">
        <w:rPr>
          <w:rFonts w:ascii="Times New Roman" w:hAnsi="Times New Roman"/>
        </w:rPr>
        <w:t xml:space="preserve"> yılın</w:t>
      </w:r>
      <w:r w:rsidR="007320D7">
        <w:rPr>
          <w:rFonts w:ascii="Times New Roman" w:hAnsi="Times New Roman"/>
        </w:rPr>
        <w:t>d</w:t>
      </w:r>
      <w:r w:rsidR="00F52A10" w:rsidRPr="00423657">
        <w:rPr>
          <w:rFonts w:ascii="Times New Roman" w:hAnsi="Times New Roman"/>
        </w:rPr>
        <w:t xml:space="preserve">a </w:t>
      </w:r>
      <w:r w:rsidR="007320D7">
        <w:rPr>
          <w:rFonts w:ascii="Times New Roman" w:hAnsi="Times New Roman"/>
        </w:rPr>
        <w:t>uygulanacak</w:t>
      </w:r>
      <w:r w:rsidR="00F52A10" w:rsidRPr="00423657">
        <w:rPr>
          <w:rFonts w:ascii="Times New Roman" w:hAnsi="Times New Roman"/>
        </w:rPr>
        <w:t xml:space="preserve"> </w:t>
      </w:r>
      <w:r w:rsidR="00C20FB2">
        <w:rPr>
          <w:rFonts w:ascii="Times New Roman" w:hAnsi="Times New Roman"/>
        </w:rPr>
        <w:t>had ve tutarlar</w:t>
      </w:r>
      <w:r w:rsidR="00F52A10" w:rsidRPr="00423657">
        <w:rPr>
          <w:rFonts w:ascii="Times New Roman" w:hAnsi="Times New Roman"/>
        </w:rPr>
        <w:t>a</w:t>
      </w:r>
      <w:r w:rsidR="00935B2E" w:rsidRPr="00423657">
        <w:rPr>
          <w:rFonts w:ascii="Times New Roman" w:hAnsi="Times New Roman"/>
        </w:rPr>
        <w:t xml:space="preserve"> aşağıdaki şekilde</w:t>
      </w:r>
      <w:r w:rsidR="00C20FB2">
        <w:rPr>
          <w:rFonts w:ascii="Times New Roman" w:hAnsi="Times New Roman"/>
        </w:rPr>
        <w:t xml:space="preserve"> </w:t>
      </w:r>
      <w:r w:rsidR="007320D7">
        <w:rPr>
          <w:rFonts w:ascii="Times New Roman" w:hAnsi="Times New Roman"/>
        </w:rPr>
        <w:t>değişikliklere gidilmiştir</w:t>
      </w:r>
      <w:r w:rsidR="00F52A10" w:rsidRPr="00423657">
        <w:rPr>
          <w:rFonts w:ascii="Times New Roman" w:hAnsi="Times New Roman"/>
        </w:rPr>
        <w:t>:</w:t>
      </w:r>
    </w:p>
    <w:p w:rsidR="00F52A10" w:rsidRPr="00423657" w:rsidRDefault="00F52A10" w:rsidP="00074450">
      <w:pPr>
        <w:rPr>
          <w:rFonts w:ascii="Times New Roman" w:hAnsi="Times New Roman"/>
        </w:rPr>
      </w:pPr>
    </w:p>
    <w:p w:rsidR="00DD2783" w:rsidRPr="00423657" w:rsidRDefault="00DD2783" w:rsidP="003534E7">
      <w:pPr>
        <w:jc w:val="both"/>
        <w:rPr>
          <w:rFonts w:ascii="Times New Roman" w:hAnsi="Times New Roman"/>
          <w:b/>
          <w:i/>
        </w:rPr>
      </w:pPr>
      <w:r w:rsidRPr="00423657">
        <w:rPr>
          <w:rFonts w:ascii="Times New Roman" w:hAnsi="Times New Roman"/>
          <w:b/>
          <w:i/>
        </w:rPr>
        <w:t>Gelir Vergisi:</w:t>
      </w:r>
    </w:p>
    <w:p w:rsidR="006214DD" w:rsidRPr="00423657" w:rsidRDefault="006214DD" w:rsidP="003534E7">
      <w:pPr>
        <w:jc w:val="both"/>
        <w:rPr>
          <w:rFonts w:ascii="Times New Roman" w:hAnsi="Times New Roman"/>
          <w:i/>
        </w:rPr>
      </w:pPr>
    </w:p>
    <w:p w:rsidR="00DD2783" w:rsidRDefault="002906CF" w:rsidP="00DD2783">
      <w:pPr>
        <w:pStyle w:val="ListParagraph"/>
        <w:numPr>
          <w:ilvl w:val="0"/>
          <w:numId w:val="8"/>
        </w:numPr>
        <w:jc w:val="both"/>
        <w:rPr>
          <w:rFonts w:ascii="Times New Roman" w:hAnsi="Times New Roman"/>
        </w:rPr>
      </w:pPr>
      <w:r w:rsidRPr="00423657">
        <w:rPr>
          <w:rFonts w:ascii="Times New Roman" w:hAnsi="Times New Roman"/>
        </w:rPr>
        <w:t>201</w:t>
      </w:r>
      <w:r w:rsidR="006C76D8">
        <w:rPr>
          <w:rFonts w:ascii="Times New Roman" w:hAnsi="Times New Roman"/>
        </w:rPr>
        <w:t>7</w:t>
      </w:r>
      <w:r w:rsidRPr="00423657">
        <w:rPr>
          <w:rFonts w:ascii="Times New Roman" w:hAnsi="Times New Roman"/>
        </w:rPr>
        <w:t xml:space="preserve"> yılı gelirlerinin vergilendirilmesinde esas alınacak g</w:t>
      </w:r>
      <w:r w:rsidR="00751475" w:rsidRPr="00423657">
        <w:rPr>
          <w:rFonts w:ascii="Times New Roman" w:hAnsi="Times New Roman"/>
        </w:rPr>
        <w:t xml:space="preserve">elir </w:t>
      </w:r>
      <w:r w:rsidR="00A153FF" w:rsidRPr="00423657">
        <w:rPr>
          <w:rFonts w:ascii="Times New Roman" w:hAnsi="Times New Roman"/>
        </w:rPr>
        <w:t>v</w:t>
      </w:r>
      <w:r w:rsidR="00751475" w:rsidRPr="00423657">
        <w:rPr>
          <w:rFonts w:ascii="Times New Roman" w:hAnsi="Times New Roman"/>
        </w:rPr>
        <w:t xml:space="preserve">ergisi </w:t>
      </w:r>
      <w:r w:rsidR="00A153FF" w:rsidRPr="00423657">
        <w:rPr>
          <w:rFonts w:ascii="Times New Roman" w:hAnsi="Times New Roman"/>
        </w:rPr>
        <w:t>tarifesi</w:t>
      </w:r>
      <w:r w:rsidR="00DD2783" w:rsidRPr="00423657">
        <w:rPr>
          <w:rFonts w:ascii="Times New Roman" w:hAnsi="Times New Roman"/>
        </w:rPr>
        <w:t>:</w:t>
      </w:r>
    </w:p>
    <w:p w:rsidR="006C76D8" w:rsidRPr="00423657" w:rsidRDefault="006C76D8" w:rsidP="006C76D8">
      <w:pPr>
        <w:pStyle w:val="ListParagraph"/>
        <w:jc w:val="both"/>
        <w:rPr>
          <w:rFonts w:ascii="Times New Roman" w:hAnsi="Times New Roman"/>
        </w:rPr>
      </w:pPr>
    </w:p>
    <w:tbl>
      <w:tblPr>
        <w:tblStyle w:val="TableGrid"/>
        <w:tblW w:w="8150" w:type="dxa"/>
        <w:tblInd w:w="753" w:type="dxa"/>
        <w:tblLook w:val="04A0" w:firstRow="1" w:lastRow="0" w:firstColumn="1" w:lastColumn="0" w:noHBand="0" w:noVBand="1"/>
      </w:tblPr>
      <w:tblGrid>
        <w:gridCol w:w="7322"/>
        <w:gridCol w:w="828"/>
      </w:tblGrid>
      <w:tr w:rsidR="00DD2783" w:rsidRPr="00423657" w:rsidTr="007320D7">
        <w:tc>
          <w:tcPr>
            <w:tcW w:w="7322" w:type="dxa"/>
            <w:vAlign w:val="center"/>
          </w:tcPr>
          <w:p w:rsidR="00DD2783" w:rsidRPr="00423657" w:rsidRDefault="00DD2783" w:rsidP="003534E7">
            <w:pPr>
              <w:jc w:val="both"/>
              <w:rPr>
                <w:rFonts w:ascii="Times New Roman" w:hAnsi="Times New Roman"/>
                <w:b/>
              </w:rPr>
            </w:pPr>
            <w:r w:rsidRPr="00423657">
              <w:rPr>
                <w:rFonts w:ascii="Times New Roman" w:hAnsi="Times New Roman"/>
                <w:b/>
              </w:rPr>
              <w:t>Dilim</w:t>
            </w:r>
          </w:p>
        </w:tc>
        <w:tc>
          <w:tcPr>
            <w:tcW w:w="828" w:type="dxa"/>
            <w:vAlign w:val="center"/>
          </w:tcPr>
          <w:p w:rsidR="00DD2783" w:rsidRPr="00423657" w:rsidRDefault="00DD2783" w:rsidP="00DD2783">
            <w:pPr>
              <w:jc w:val="center"/>
              <w:rPr>
                <w:rFonts w:ascii="Times New Roman" w:hAnsi="Times New Roman"/>
                <w:b/>
              </w:rPr>
            </w:pPr>
            <w:r w:rsidRPr="00423657">
              <w:rPr>
                <w:rFonts w:ascii="Times New Roman" w:hAnsi="Times New Roman"/>
                <w:b/>
              </w:rPr>
              <w:t>Oran</w:t>
            </w:r>
          </w:p>
        </w:tc>
      </w:tr>
      <w:tr w:rsidR="00DD2783" w:rsidRPr="00423657" w:rsidTr="007320D7">
        <w:tc>
          <w:tcPr>
            <w:tcW w:w="7322" w:type="dxa"/>
            <w:vAlign w:val="center"/>
          </w:tcPr>
          <w:p w:rsidR="00DD2783" w:rsidRPr="00423657" w:rsidRDefault="00992398" w:rsidP="00D61D9A">
            <w:pPr>
              <w:jc w:val="both"/>
              <w:rPr>
                <w:rFonts w:ascii="Times New Roman" w:hAnsi="Times New Roman"/>
              </w:rPr>
            </w:pPr>
            <w:r w:rsidRPr="00423657">
              <w:rPr>
                <w:rFonts w:ascii="Times New Roman" w:hAnsi="Times New Roman"/>
              </w:rPr>
              <w:t>1</w:t>
            </w:r>
            <w:r w:rsidR="0033595F">
              <w:rPr>
                <w:rFonts w:ascii="Times New Roman" w:hAnsi="Times New Roman"/>
              </w:rPr>
              <w:t>3.0</w:t>
            </w:r>
            <w:r w:rsidRPr="00423657">
              <w:rPr>
                <w:rFonts w:ascii="Times New Roman" w:hAnsi="Times New Roman"/>
              </w:rPr>
              <w:t>00</w:t>
            </w:r>
            <w:r w:rsidR="00DD2783" w:rsidRPr="00423657">
              <w:rPr>
                <w:rFonts w:ascii="Times New Roman" w:hAnsi="Times New Roman"/>
              </w:rPr>
              <w:t xml:space="preserve"> TL’ye kadar</w:t>
            </w:r>
          </w:p>
        </w:tc>
        <w:tc>
          <w:tcPr>
            <w:tcW w:w="828" w:type="dxa"/>
            <w:vAlign w:val="center"/>
          </w:tcPr>
          <w:p w:rsidR="00DD2783" w:rsidRPr="00423657" w:rsidRDefault="00DD2783" w:rsidP="00DD2783">
            <w:pPr>
              <w:jc w:val="center"/>
              <w:rPr>
                <w:rFonts w:ascii="Times New Roman" w:hAnsi="Times New Roman"/>
              </w:rPr>
            </w:pPr>
            <w:r w:rsidRPr="00423657">
              <w:rPr>
                <w:rFonts w:ascii="Times New Roman" w:hAnsi="Times New Roman"/>
              </w:rPr>
              <w:t>%15</w:t>
            </w:r>
          </w:p>
        </w:tc>
      </w:tr>
      <w:tr w:rsidR="00DD2783" w:rsidRPr="00423657" w:rsidTr="007320D7">
        <w:tc>
          <w:tcPr>
            <w:tcW w:w="7322" w:type="dxa"/>
            <w:vAlign w:val="center"/>
          </w:tcPr>
          <w:p w:rsidR="00DD2783" w:rsidRPr="00423657" w:rsidRDefault="002906CF" w:rsidP="00423657">
            <w:pPr>
              <w:jc w:val="both"/>
              <w:rPr>
                <w:rFonts w:ascii="Times New Roman" w:hAnsi="Times New Roman"/>
              </w:rPr>
            </w:pPr>
            <w:r w:rsidRPr="00423657">
              <w:rPr>
                <w:rFonts w:ascii="Times New Roman" w:hAnsi="Times New Roman"/>
              </w:rPr>
              <w:t>30</w:t>
            </w:r>
            <w:r w:rsidR="00DD2783" w:rsidRPr="00423657">
              <w:rPr>
                <w:rFonts w:ascii="Times New Roman" w:hAnsi="Times New Roman"/>
              </w:rPr>
              <w:t xml:space="preserve">.000 </w:t>
            </w:r>
            <w:r w:rsidR="00992398" w:rsidRPr="00423657">
              <w:rPr>
                <w:rFonts w:ascii="Times New Roman" w:hAnsi="Times New Roman"/>
              </w:rPr>
              <w:t>TL'nin 1</w:t>
            </w:r>
            <w:r w:rsidR="0033595F">
              <w:rPr>
                <w:rFonts w:ascii="Times New Roman" w:hAnsi="Times New Roman"/>
              </w:rPr>
              <w:t>3.0</w:t>
            </w:r>
            <w:r w:rsidR="00992398" w:rsidRPr="00423657">
              <w:rPr>
                <w:rFonts w:ascii="Times New Roman" w:hAnsi="Times New Roman"/>
              </w:rPr>
              <w:t>00 TL'si için 1.</w:t>
            </w:r>
            <w:r w:rsidR="0033595F">
              <w:rPr>
                <w:rFonts w:ascii="Times New Roman" w:hAnsi="Times New Roman"/>
              </w:rPr>
              <w:t>950</w:t>
            </w:r>
            <w:r w:rsidR="00DD2783" w:rsidRPr="00423657">
              <w:rPr>
                <w:rFonts w:ascii="Times New Roman" w:hAnsi="Times New Roman"/>
              </w:rPr>
              <w:t xml:space="preserve"> TL, fazlası</w:t>
            </w:r>
          </w:p>
        </w:tc>
        <w:tc>
          <w:tcPr>
            <w:tcW w:w="828" w:type="dxa"/>
            <w:vAlign w:val="center"/>
          </w:tcPr>
          <w:p w:rsidR="00DD2783" w:rsidRPr="00423657" w:rsidRDefault="00DD2783" w:rsidP="00DD2783">
            <w:pPr>
              <w:jc w:val="center"/>
              <w:rPr>
                <w:rFonts w:ascii="Times New Roman" w:hAnsi="Times New Roman"/>
              </w:rPr>
            </w:pPr>
            <w:r w:rsidRPr="00423657">
              <w:rPr>
                <w:rFonts w:ascii="Times New Roman" w:hAnsi="Times New Roman"/>
              </w:rPr>
              <w:t>%20</w:t>
            </w:r>
          </w:p>
        </w:tc>
      </w:tr>
      <w:tr w:rsidR="00DD2783" w:rsidRPr="00423657" w:rsidTr="007320D7">
        <w:tc>
          <w:tcPr>
            <w:tcW w:w="7322" w:type="dxa"/>
            <w:vAlign w:val="center"/>
          </w:tcPr>
          <w:p w:rsidR="00DD2783" w:rsidRPr="00423657" w:rsidRDefault="0033595F" w:rsidP="00423657">
            <w:pPr>
              <w:jc w:val="both"/>
              <w:rPr>
                <w:rFonts w:ascii="Times New Roman" w:hAnsi="Times New Roman"/>
              </w:rPr>
            </w:pPr>
            <w:r>
              <w:rPr>
                <w:rFonts w:ascii="Times New Roman" w:hAnsi="Times New Roman"/>
              </w:rPr>
              <w:t>70.000</w:t>
            </w:r>
            <w:r w:rsidR="00A153FF" w:rsidRPr="00423657">
              <w:rPr>
                <w:rFonts w:ascii="Times New Roman" w:hAnsi="Times New Roman"/>
              </w:rPr>
              <w:t xml:space="preserve"> TL'nin </w:t>
            </w:r>
            <w:r w:rsidR="00423657" w:rsidRPr="00423657">
              <w:rPr>
                <w:rFonts w:ascii="Times New Roman" w:hAnsi="Times New Roman"/>
              </w:rPr>
              <w:t>30</w:t>
            </w:r>
            <w:r w:rsidR="00A153FF" w:rsidRPr="00423657">
              <w:rPr>
                <w:rFonts w:ascii="Times New Roman" w:hAnsi="Times New Roman"/>
              </w:rPr>
              <w:t xml:space="preserve">.000 TL'si için </w:t>
            </w:r>
            <w:r w:rsidR="00D61D9A" w:rsidRPr="00423657">
              <w:rPr>
                <w:rFonts w:ascii="Times New Roman" w:hAnsi="Times New Roman"/>
              </w:rPr>
              <w:t>5</w:t>
            </w:r>
            <w:r w:rsidR="00A153FF" w:rsidRPr="00423657">
              <w:rPr>
                <w:rFonts w:ascii="Times New Roman" w:hAnsi="Times New Roman"/>
              </w:rPr>
              <w:t>.</w:t>
            </w:r>
            <w:r>
              <w:rPr>
                <w:rFonts w:ascii="Times New Roman" w:hAnsi="Times New Roman"/>
              </w:rPr>
              <w:t>35</w:t>
            </w:r>
            <w:r w:rsidR="00A153FF" w:rsidRPr="00423657">
              <w:rPr>
                <w:rFonts w:ascii="Times New Roman" w:hAnsi="Times New Roman"/>
              </w:rPr>
              <w:t xml:space="preserve">0 TL, (ücret gelirlerinde </w:t>
            </w:r>
            <w:r w:rsidR="00D61D9A" w:rsidRPr="00423657">
              <w:rPr>
                <w:rFonts w:ascii="Times New Roman" w:hAnsi="Times New Roman"/>
              </w:rPr>
              <w:t>1</w:t>
            </w:r>
            <w:r w:rsidR="00423657" w:rsidRPr="00423657">
              <w:rPr>
                <w:rFonts w:ascii="Times New Roman" w:hAnsi="Times New Roman"/>
              </w:rPr>
              <w:t>10</w:t>
            </w:r>
            <w:r w:rsidR="00A153FF" w:rsidRPr="00423657">
              <w:rPr>
                <w:rFonts w:ascii="Times New Roman" w:hAnsi="Times New Roman"/>
              </w:rPr>
              <w:t xml:space="preserve">.000 TL'nin </w:t>
            </w:r>
            <w:r w:rsidR="00423657" w:rsidRPr="00423657">
              <w:rPr>
                <w:rFonts w:ascii="Times New Roman" w:hAnsi="Times New Roman"/>
              </w:rPr>
              <w:t>30</w:t>
            </w:r>
            <w:r w:rsidR="00A153FF" w:rsidRPr="00423657">
              <w:rPr>
                <w:rFonts w:ascii="Times New Roman" w:hAnsi="Times New Roman"/>
              </w:rPr>
              <w:t xml:space="preserve">.000 TL'si için </w:t>
            </w:r>
            <w:r w:rsidR="00D61D9A" w:rsidRPr="00423657">
              <w:rPr>
                <w:rFonts w:ascii="Times New Roman" w:hAnsi="Times New Roman"/>
              </w:rPr>
              <w:t>5</w:t>
            </w:r>
            <w:r w:rsidR="00A153FF" w:rsidRPr="00423657">
              <w:rPr>
                <w:rFonts w:ascii="Times New Roman" w:hAnsi="Times New Roman"/>
              </w:rPr>
              <w:t>.</w:t>
            </w:r>
            <w:r>
              <w:rPr>
                <w:rFonts w:ascii="Times New Roman" w:hAnsi="Times New Roman"/>
              </w:rPr>
              <w:t>35</w:t>
            </w:r>
            <w:r w:rsidR="00A153FF" w:rsidRPr="00423657">
              <w:rPr>
                <w:rFonts w:ascii="Times New Roman" w:hAnsi="Times New Roman"/>
              </w:rPr>
              <w:t xml:space="preserve">0 TL), fazlası                                                                              </w:t>
            </w:r>
          </w:p>
        </w:tc>
        <w:tc>
          <w:tcPr>
            <w:tcW w:w="828" w:type="dxa"/>
            <w:vAlign w:val="center"/>
          </w:tcPr>
          <w:p w:rsidR="00DD2783" w:rsidRPr="00423657" w:rsidRDefault="00DD2783" w:rsidP="004C1075">
            <w:pPr>
              <w:jc w:val="center"/>
              <w:rPr>
                <w:rFonts w:ascii="Times New Roman" w:hAnsi="Times New Roman"/>
              </w:rPr>
            </w:pPr>
            <w:r w:rsidRPr="00423657">
              <w:rPr>
                <w:rFonts w:ascii="Times New Roman" w:hAnsi="Times New Roman"/>
              </w:rPr>
              <w:t>%27</w:t>
            </w:r>
          </w:p>
        </w:tc>
      </w:tr>
      <w:tr w:rsidR="00DD2783" w:rsidRPr="00423657" w:rsidTr="007320D7">
        <w:tc>
          <w:tcPr>
            <w:tcW w:w="7322" w:type="dxa"/>
            <w:vAlign w:val="center"/>
          </w:tcPr>
          <w:p w:rsidR="00DD2783" w:rsidRPr="00423657" w:rsidRDefault="00013269" w:rsidP="00013269">
            <w:pPr>
              <w:jc w:val="both"/>
              <w:rPr>
                <w:rFonts w:ascii="Times New Roman" w:hAnsi="Times New Roman"/>
              </w:rPr>
            </w:pPr>
            <w:r>
              <w:rPr>
                <w:rFonts w:ascii="Times New Roman" w:hAnsi="Times New Roman"/>
              </w:rPr>
              <w:t>70.000 TL'den fazlasının 70</w:t>
            </w:r>
            <w:r w:rsidR="00A153FF" w:rsidRPr="00423657">
              <w:rPr>
                <w:rFonts w:ascii="Times New Roman" w:hAnsi="Times New Roman"/>
              </w:rPr>
              <w:t>.000 TL'si için 1</w:t>
            </w:r>
            <w:r>
              <w:rPr>
                <w:rFonts w:ascii="Times New Roman" w:hAnsi="Times New Roman"/>
              </w:rPr>
              <w:t>6.15</w:t>
            </w:r>
            <w:r w:rsidR="00423657" w:rsidRPr="00423657">
              <w:rPr>
                <w:rFonts w:ascii="Times New Roman" w:hAnsi="Times New Roman"/>
              </w:rPr>
              <w:t>0</w:t>
            </w:r>
            <w:r w:rsidR="00A153FF" w:rsidRPr="00423657">
              <w:rPr>
                <w:rFonts w:ascii="Times New Roman" w:hAnsi="Times New Roman"/>
              </w:rPr>
              <w:t xml:space="preserve"> TL, (ücret gelirlerinde </w:t>
            </w:r>
            <w:r w:rsidR="00D61D9A" w:rsidRPr="00423657">
              <w:rPr>
                <w:rFonts w:ascii="Times New Roman" w:hAnsi="Times New Roman"/>
              </w:rPr>
              <w:t>1</w:t>
            </w:r>
            <w:r w:rsidR="00423657" w:rsidRPr="00423657">
              <w:rPr>
                <w:rFonts w:ascii="Times New Roman" w:hAnsi="Times New Roman"/>
              </w:rPr>
              <w:t>10</w:t>
            </w:r>
            <w:r w:rsidR="00A153FF" w:rsidRPr="00423657">
              <w:rPr>
                <w:rFonts w:ascii="Times New Roman" w:hAnsi="Times New Roman"/>
              </w:rPr>
              <w:t>.000 TL'</w:t>
            </w:r>
            <w:r w:rsidR="00423657" w:rsidRPr="00423657">
              <w:rPr>
                <w:rFonts w:ascii="Times New Roman" w:hAnsi="Times New Roman"/>
              </w:rPr>
              <w:t xml:space="preserve"> </w:t>
            </w:r>
            <w:r w:rsidR="00A153FF" w:rsidRPr="00423657">
              <w:rPr>
                <w:rFonts w:ascii="Times New Roman" w:hAnsi="Times New Roman"/>
              </w:rPr>
              <w:t xml:space="preserve">den fazlasının </w:t>
            </w:r>
            <w:r w:rsidR="00D61D9A" w:rsidRPr="00423657">
              <w:rPr>
                <w:rFonts w:ascii="Times New Roman" w:hAnsi="Times New Roman"/>
              </w:rPr>
              <w:t>1</w:t>
            </w:r>
            <w:r w:rsidR="00423657" w:rsidRPr="00423657">
              <w:rPr>
                <w:rFonts w:ascii="Times New Roman" w:hAnsi="Times New Roman"/>
              </w:rPr>
              <w:t>10</w:t>
            </w:r>
            <w:r w:rsidR="00A153FF" w:rsidRPr="00423657">
              <w:rPr>
                <w:rFonts w:ascii="Times New Roman" w:hAnsi="Times New Roman"/>
              </w:rPr>
              <w:t>.000 TL'si için 2</w:t>
            </w:r>
            <w:r w:rsidR="00423657" w:rsidRPr="00423657">
              <w:rPr>
                <w:rFonts w:ascii="Times New Roman" w:hAnsi="Times New Roman"/>
              </w:rPr>
              <w:t>6</w:t>
            </w:r>
            <w:r w:rsidR="00A153FF" w:rsidRPr="00423657">
              <w:rPr>
                <w:rFonts w:ascii="Times New Roman" w:hAnsi="Times New Roman"/>
              </w:rPr>
              <w:t>.</w:t>
            </w:r>
            <w:r w:rsidR="00D61D9A" w:rsidRPr="00423657">
              <w:rPr>
                <w:rFonts w:ascii="Times New Roman" w:hAnsi="Times New Roman"/>
              </w:rPr>
              <w:t>9</w:t>
            </w:r>
            <w:r>
              <w:rPr>
                <w:rFonts w:ascii="Times New Roman" w:hAnsi="Times New Roman"/>
              </w:rPr>
              <w:t>5</w:t>
            </w:r>
            <w:r w:rsidR="00A153FF" w:rsidRPr="00423657">
              <w:rPr>
                <w:rFonts w:ascii="Times New Roman" w:hAnsi="Times New Roman"/>
              </w:rPr>
              <w:t>0 TL), fazlası</w:t>
            </w:r>
          </w:p>
        </w:tc>
        <w:tc>
          <w:tcPr>
            <w:tcW w:w="828" w:type="dxa"/>
            <w:vAlign w:val="center"/>
          </w:tcPr>
          <w:p w:rsidR="00DD2783" w:rsidRPr="00423657" w:rsidRDefault="00DD2783" w:rsidP="004C1075">
            <w:pPr>
              <w:jc w:val="center"/>
              <w:rPr>
                <w:rFonts w:ascii="Times New Roman" w:hAnsi="Times New Roman"/>
              </w:rPr>
            </w:pPr>
            <w:r w:rsidRPr="00423657">
              <w:rPr>
                <w:rFonts w:ascii="Times New Roman" w:hAnsi="Times New Roman"/>
              </w:rPr>
              <w:t>%35</w:t>
            </w:r>
          </w:p>
        </w:tc>
      </w:tr>
    </w:tbl>
    <w:p w:rsidR="007320D7" w:rsidRDefault="007320D7" w:rsidP="007320D7">
      <w:pPr>
        <w:pStyle w:val="ListParagraph"/>
        <w:jc w:val="both"/>
        <w:rPr>
          <w:rFonts w:ascii="Times New Roman" w:hAnsi="Times New Roman"/>
        </w:rPr>
      </w:pPr>
    </w:p>
    <w:p w:rsidR="004C1075" w:rsidRPr="00423657" w:rsidRDefault="006C76D8" w:rsidP="004C1075">
      <w:pPr>
        <w:pStyle w:val="ListParagraph"/>
        <w:numPr>
          <w:ilvl w:val="0"/>
          <w:numId w:val="8"/>
        </w:numPr>
        <w:jc w:val="both"/>
        <w:rPr>
          <w:rFonts w:ascii="Times New Roman" w:hAnsi="Times New Roman"/>
        </w:rPr>
      </w:pPr>
      <w:r>
        <w:rPr>
          <w:rFonts w:ascii="Times New Roman" w:hAnsi="Times New Roman"/>
        </w:rPr>
        <w:t xml:space="preserve">Mesken </w:t>
      </w:r>
      <w:proofErr w:type="spellStart"/>
      <w:r>
        <w:rPr>
          <w:rFonts w:ascii="Times New Roman" w:hAnsi="Times New Roman"/>
        </w:rPr>
        <w:t>k</w:t>
      </w:r>
      <w:r w:rsidR="00C16AB1">
        <w:rPr>
          <w:rFonts w:ascii="Times New Roman" w:hAnsi="Times New Roman"/>
        </w:rPr>
        <w:t>x”</w:t>
      </w:r>
      <w:r w:rsidR="00A153FF" w:rsidRPr="00423657">
        <w:rPr>
          <w:rFonts w:ascii="Times New Roman" w:hAnsi="Times New Roman"/>
        </w:rPr>
        <w:t>ira</w:t>
      </w:r>
      <w:proofErr w:type="spellEnd"/>
      <w:r w:rsidR="00A153FF" w:rsidRPr="00423657">
        <w:rPr>
          <w:rFonts w:ascii="Times New Roman" w:hAnsi="Times New Roman"/>
        </w:rPr>
        <w:t xml:space="preserve"> gelirleri</w:t>
      </w:r>
      <w:r w:rsidR="00423657" w:rsidRPr="00423657">
        <w:rPr>
          <w:rFonts w:ascii="Times New Roman" w:hAnsi="Times New Roman"/>
        </w:rPr>
        <w:t xml:space="preserve"> için</w:t>
      </w:r>
      <w:r w:rsidR="004C1075" w:rsidRPr="00423657">
        <w:rPr>
          <w:rFonts w:ascii="Times New Roman" w:hAnsi="Times New Roman"/>
        </w:rPr>
        <w:t xml:space="preserve"> uygulanan istisna tutarı</w:t>
      </w:r>
      <w:r w:rsidR="00CB7CE0" w:rsidRPr="00423657">
        <w:rPr>
          <w:rFonts w:ascii="Times New Roman" w:hAnsi="Times New Roman"/>
        </w:rPr>
        <w:t>: 3.</w:t>
      </w:r>
      <w:r w:rsidR="00013269">
        <w:rPr>
          <w:rFonts w:ascii="Times New Roman" w:hAnsi="Times New Roman"/>
        </w:rPr>
        <w:t>9</w:t>
      </w:r>
      <w:r w:rsidR="004C1075" w:rsidRPr="00423657">
        <w:rPr>
          <w:rFonts w:ascii="Times New Roman" w:hAnsi="Times New Roman"/>
        </w:rPr>
        <w:t>00 TL</w:t>
      </w:r>
    </w:p>
    <w:p w:rsidR="004C1075" w:rsidRPr="00423657" w:rsidRDefault="004C1075" w:rsidP="004C1075">
      <w:pPr>
        <w:pStyle w:val="ListParagraph"/>
        <w:numPr>
          <w:ilvl w:val="0"/>
          <w:numId w:val="8"/>
        </w:numPr>
        <w:jc w:val="both"/>
        <w:rPr>
          <w:rFonts w:ascii="Times New Roman" w:hAnsi="Times New Roman"/>
        </w:rPr>
      </w:pPr>
      <w:r w:rsidRPr="00423657">
        <w:rPr>
          <w:rFonts w:ascii="Times New Roman" w:hAnsi="Times New Roman"/>
        </w:rPr>
        <w:t>İşverenlerce işyeri veya işyerinin müştemilatı dışında kalan yerlerde hizmet erbabına yemek verilmek suretiyle sağlanan menfaatlere ilişkin istisna tutarı:</w:t>
      </w:r>
      <w:r w:rsidR="00A153FF" w:rsidRPr="00423657">
        <w:rPr>
          <w:rFonts w:ascii="Times New Roman" w:hAnsi="Times New Roman"/>
        </w:rPr>
        <w:t xml:space="preserve"> 1</w:t>
      </w:r>
      <w:r w:rsidR="00013269">
        <w:rPr>
          <w:rFonts w:ascii="Times New Roman" w:hAnsi="Times New Roman"/>
        </w:rPr>
        <w:t>4,00</w:t>
      </w:r>
      <w:r w:rsidRPr="00423657">
        <w:rPr>
          <w:rFonts w:ascii="Times New Roman" w:hAnsi="Times New Roman"/>
        </w:rPr>
        <w:t xml:space="preserve"> TL</w:t>
      </w:r>
      <w:r w:rsidR="006C76D8">
        <w:rPr>
          <w:rFonts w:ascii="Times New Roman" w:hAnsi="Times New Roman"/>
        </w:rPr>
        <w:tab/>
      </w:r>
    </w:p>
    <w:p w:rsidR="004C1075" w:rsidRPr="00423657" w:rsidRDefault="00D61D9A" w:rsidP="004C1075">
      <w:pPr>
        <w:pStyle w:val="ListParagraph"/>
        <w:numPr>
          <w:ilvl w:val="0"/>
          <w:numId w:val="8"/>
        </w:numPr>
        <w:jc w:val="both"/>
        <w:rPr>
          <w:rFonts w:ascii="Times New Roman" w:hAnsi="Times New Roman"/>
        </w:rPr>
      </w:pPr>
      <w:r w:rsidRPr="00423657">
        <w:rPr>
          <w:rFonts w:ascii="Times New Roman" w:hAnsi="Times New Roman"/>
        </w:rPr>
        <w:t>Engellilik</w:t>
      </w:r>
      <w:r w:rsidR="004C1075" w:rsidRPr="00423657">
        <w:rPr>
          <w:rFonts w:ascii="Times New Roman" w:hAnsi="Times New Roman"/>
        </w:rPr>
        <w:t xml:space="preserve"> indirimi tutarları</w:t>
      </w:r>
      <w:r w:rsidR="00B4023C" w:rsidRPr="00423657">
        <w:rPr>
          <w:rFonts w:ascii="Times New Roman" w:hAnsi="Times New Roman"/>
        </w:rPr>
        <w:t>:</w:t>
      </w:r>
    </w:p>
    <w:p w:rsidR="004C1075" w:rsidRPr="00423657" w:rsidRDefault="00D61D9A" w:rsidP="004C1075">
      <w:pPr>
        <w:pStyle w:val="ListParagraph"/>
        <w:numPr>
          <w:ilvl w:val="1"/>
          <w:numId w:val="8"/>
        </w:numPr>
        <w:jc w:val="both"/>
        <w:rPr>
          <w:rFonts w:ascii="Times New Roman" w:hAnsi="Times New Roman"/>
        </w:rPr>
      </w:pPr>
      <w:r w:rsidRPr="00423657">
        <w:rPr>
          <w:rFonts w:ascii="Times New Roman" w:hAnsi="Times New Roman"/>
        </w:rPr>
        <w:t>Birinci derece engelliler</w:t>
      </w:r>
      <w:r w:rsidR="004C1075" w:rsidRPr="00423657">
        <w:rPr>
          <w:rFonts w:ascii="Times New Roman" w:hAnsi="Times New Roman"/>
        </w:rPr>
        <w:t xml:space="preserve"> için </w:t>
      </w:r>
      <w:r w:rsidR="00423657" w:rsidRPr="00423657">
        <w:rPr>
          <w:rFonts w:ascii="Times New Roman" w:hAnsi="Times New Roman"/>
        </w:rPr>
        <w:t>90</w:t>
      </w:r>
      <w:r w:rsidR="004C1075" w:rsidRPr="00423657">
        <w:rPr>
          <w:rFonts w:ascii="Times New Roman" w:hAnsi="Times New Roman"/>
        </w:rPr>
        <w:t xml:space="preserve">0 TL, </w:t>
      </w:r>
    </w:p>
    <w:p w:rsidR="004C1075" w:rsidRPr="00423657" w:rsidRDefault="004C1075" w:rsidP="004C1075">
      <w:pPr>
        <w:pStyle w:val="ListParagraph"/>
        <w:numPr>
          <w:ilvl w:val="1"/>
          <w:numId w:val="8"/>
        </w:numPr>
        <w:jc w:val="both"/>
        <w:rPr>
          <w:rFonts w:ascii="Times New Roman" w:hAnsi="Times New Roman"/>
        </w:rPr>
      </w:pPr>
      <w:r w:rsidRPr="00423657">
        <w:rPr>
          <w:rFonts w:ascii="Times New Roman" w:hAnsi="Times New Roman"/>
        </w:rPr>
        <w:t xml:space="preserve">İkinci derece </w:t>
      </w:r>
      <w:r w:rsidR="00D61D9A" w:rsidRPr="00423657">
        <w:rPr>
          <w:rFonts w:ascii="Times New Roman" w:hAnsi="Times New Roman"/>
        </w:rPr>
        <w:t xml:space="preserve">engelliler </w:t>
      </w:r>
      <w:r w:rsidRPr="00423657">
        <w:rPr>
          <w:rFonts w:ascii="Times New Roman" w:hAnsi="Times New Roman"/>
        </w:rPr>
        <w:t>için 4</w:t>
      </w:r>
      <w:r w:rsidR="00013269">
        <w:rPr>
          <w:rFonts w:ascii="Times New Roman" w:hAnsi="Times New Roman"/>
        </w:rPr>
        <w:t>7</w:t>
      </w:r>
      <w:r w:rsidRPr="00423657">
        <w:rPr>
          <w:rFonts w:ascii="Times New Roman" w:hAnsi="Times New Roman"/>
        </w:rPr>
        <w:t xml:space="preserve">0 TL, </w:t>
      </w:r>
    </w:p>
    <w:p w:rsidR="004C1075" w:rsidRPr="00423657" w:rsidRDefault="004C1075" w:rsidP="004C1075">
      <w:pPr>
        <w:pStyle w:val="ListParagraph"/>
        <w:numPr>
          <w:ilvl w:val="1"/>
          <w:numId w:val="8"/>
        </w:numPr>
        <w:jc w:val="both"/>
        <w:rPr>
          <w:rFonts w:ascii="Times New Roman" w:hAnsi="Times New Roman"/>
        </w:rPr>
      </w:pPr>
      <w:r w:rsidRPr="00423657">
        <w:rPr>
          <w:rFonts w:ascii="Times New Roman" w:hAnsi="Times New Roman"/>
        </w:rPr>
        <w:t xml:space="preserve">Üçüncü derece </w:t>
      </w:r>
      <w:r w:rsidR="00D61D9A" w:rsidRPr="00423657">
        <w:rPr>
          <w:rFonts w:ascii="Times New Roman" w:hAnsi="Times New Roman"/>
        </w:rPr>
        <w:t>engelliler</w:t>
      </w:r>
      <w:r w:rsidRPr="00423657">
        <w:rPr>
          <w:rFonts w:ascii="Times New Roman" w:hAnsi="Times New Roman"/>
        </w:rPr>
        <w:t xml:space="preserve"> için </w:t>
      </w:r>
      <w:r w:rsidR="00D61D9A" w:rsidRPr="00423657">
        <w:rPr>
          <w:rFonts w:ascii="Times New Roman" w:hAnsi="Times New Roman"/>
        </w:rPr>
        <w:t>2</w:t>
      </w:r>
      <w:r w:rsidR="00423657" w:rsidRPr="00423657">
        <w:rPr>
          <w:rFonts w:ascii="Times New Roman" w:hAnsi="Times New Roman"/>
        </w:rPr>
        <w:t>1</w:t>
      </w:r>
      <w:r w:rsidRPr="00423657">
        <w:rPr>
          <w:rFonts w:ascii="Times New Roman" w:hAnsi="Times New Roman"/>
        </w:rPr>
        <w:t>0 TL</w:t>
      </w:r>
      <w:r w:rsidR="00423657" w:rsidRPr="00423657">
        <w:rPr>
          <w:rFonts w:ascii="Times New Roman" w:hAnsi="Times New Roman"/>
        </w:rPr>
        <w:t>.</w:t>
      </w:r>
    </w:p>
    <w:p w:rsidR="004C1075" w:rsidRPr="00423657" w:rsidRDefault="004C1075" w:rsidP="004C1075">
      <w:pPr>
        <w:pStyle w:val="ListParagraph"/>
        <w:numPr>
          <w:ilvl w:val="0"/>
          <w:numId w:val="8"/>
        </w:numPr>
        <w:jc w:val="both"/>
        <w:rPr>
          <w:rFonts w:ascii="Times New Roman" w:hAnsi="Times New Roman"/>
        </w:rPr>
      </w:pPr>
      <w:r w:rsidRPr="00423657">
        <w:rPr>
          <w:rFonts w:ascii="Times New Roman" w:hAnsi="Times New Roman"/>
        </w:rPr>
        <w:t>Değer artışı k</w:t>
      </w:r>
      <w:r w:rsidR="00CB7CE0" w:rsidRPr="00423657">
        <w:rPr>
          <w:rFonts w:ascii="Times New Roman" w:hAnsi="Times New Roman"/>
        </w:rPr>
        <w:t xml:space="preserve">azançlarına ilişkin istisna: </w:t>
      </w:r>
      <w:r w:rsidR="00D61D9A" w:rsidRPr="00423657">
        <w:rPr>
          <w:rFonts w:ascii="Times New Roman" w:hAnsi="Times New Roman"/>
        </w:rPr>
        <w:t>1</w:t>
      </w:r>
      <w:r w:rsidR="00423657" w:rsidRPr="00423657">
        <w:rPr>
          <w:rFonts w:ascii="Times New Roman" w:hAnsi="Times New Roman"/>
        </w:rPr>
        <w:t>1.0</w:t>
      </w:r>
      <w:r w:rsidRPr="00423657">
        <w:rPr>
          <w:rFonts w:ascii="Times New Roman" w:hAnsi="Times New Roman"/>
        </w:rPr>
        <w:t>00 TL</w:t>
      </w:r>
    </w:p>
    <w:p w:rsidR="00DD2783" w:rsidRPr="00423657" w:rsidRDefault="004C1075" w:rsidP="003534E7">
      <w:pPr>
        <w:pStyle w:val="ListParagraph"/>
        <w:numPr>
          <w:ilvl w:val="0"/>
          <w:numId w:val="8"/>
        </w:numPr>
        <w:jc w:val="both"/>
        <w:rPr>
          <w:rFonts w:ascii="Times New Roman" w:hAnsi="Times New Roman"/>
        </w:rPr>
      </w:pPr>
      <w:r w:rsidRPr="00423657">
        <w:rPr>
          <w:rFonts w:ascii="Times New Roman" w:hAnsi="Times New Roman"/>
        </w:rPr>
        <w:t>Arızi kazançlara ilişkin istisna tutarı: 2</w:t>
      </w:r>
      <w:r w:rsidR="00423657" w:rsidRPr="00423657">
        <w:rPr>
          <w:rFonts w:ascii="Times New Roman" w:hAnsi="Times New Roman"/>
        </w:rPr>
        <w:t>4</w:t>
      </w:r>
      <w:r w:rsidRPr="00423657">
        <w:rPr>
          <w:rFonts w:ascii="Times New Roman" w:hAnsi="Times New Roman"/>
        </w:rPr>
        <w:t>.000 TL</w:t>
      </w:r>
    </w:p>
    <w:p w:rsidR="00ED2884" w:rsidRPr="002779A4" w:rsidRDefault="00B4023C" w:rsidP="00ED2884">
      <w:pPr>
        <w:pStyle w:val="ListParagraph"/>
        <w:numPr>
          <w:ilvl w:val="0"/>
          <w:numId w:val="8"/>
        </w:numPr>
        <w:jc w:val="both"/>
        <w:rPr>
          <w:rFonts w:ascii="Times New Roman" w:hAnsi="Times New Roman"/>
        </w:rPr>
      </w:pPr>
      <w:r w:rsidRPr="00423657">
        <w:rPr>
          <w:rFonts w:ascii="Times New Roman" w:hAnsi="Times New Roman"/>
        </w:rPr>
        <w:t>Tevkifata ve istisnaya konu olmayan menkul ve gayrimenkul sermaye iratlarına ilişkin beyanname verme sınırı: 1.</w:t>
      </w:r>
      <w:r w:rsidR="00013269">
        <w:rPr>
          <w:rFonts w:ascii="Times New Roman" w:hAnsi="Times New Roman"/>
        </w:rPr>
        <w:t>600</w:t>
      </w:r>
      <w:r w:rsidRPr="00423657">
        <w:rPr>
          <w:rFonts w:ascii="Times New Roman" w:hAnsi="Times New Roman"/>
        </w:rPr>
        <w:t xml:space="preserve"> TL</w:t>
      </w:r>
    </w:p>
    <w:p w:rsidR="007320D7" w:rsidRDefault="007320D7" w:rsidP="007320D7">
      <w:pPr>
        <w:jc w:val="both"/>
        <w:rPr>
          <w:rFonts w:ascii="Times New Roman" w:hAnsi="Times New Roman"/>
          <w:b/>
          <w:i/>
        </w:rPr>
      </w:pPr>
    </w:p>
    <w:p w:rsidR="007320D7" w:rsidRPr="00423657" w:rsidRDefault="007320D7" w:rsidP="007320D7">
      <w:pPr>
        <w:jc w:val="both"/>
        <w:rPr>
          <w:rFonts w:ascii="Times New Roman" w:hAnsi="Times New Roman"/>
          <w:b/>
          <w:i/>
        </w:rPr>
      </w:pPr>
      <w:r w:rsidRPr="00423657">
        <w:rPr>
          <w:rFonts w:ascii="Times New Roman" w:hAnsi="Times New Roman"/>
          <w:b/>
          <w:i/>
        </w:rPr>
        <w:t>Katma Değer Vergisi:</w:t>
      </w:r>
    </w:p>
    <w:p w:rsidR="007320D7" w:rsidRPr="00423657" w:rsidRDefault="007320D7" w:rsidP="007320D7">
      <w:pPr>
        <w:jc w:val="both"/>
        <w:rPr>
          <w:rFonts w:ascii="Times New Roman" w:hAnsi="Times New Roman"/>
        </w:rPr>
      </w:pPr>
    </w:p>
    <w:p w:rsidR="007320D7" w:rsidRPr="00423657" w:rsidRDefault="007320D7" w:rsidP="007320D7">
      <w:pPr>
        <w:pStyle w:val="ListParagraph"/>
        <w:numPr>
          <w:ilvl w:val="0"/>
          <w:numId w:val="5"/>
        </w:numPr>
        <w:jc w:val="both"/>
        <w:rPr>
          <w:rFonts w:ascii="Times New Roman" w:hAnsi="Times New Roman"/>
        </w:rPr>
      </w:pPr>
      <w:r w:rsidRPr="00423657">
        <w:rPr>
          <w:rFonts w:ascii="Times New Roman" w:hAnsi="Times New Roman"/>
        </w:rPr>
        <w:t>İndirimli orana tabi işlemlerden doğan KDV iadesi taleplerinde, yüklenilen ve indirim yoluyla giderilemeyen KDV tutarlarının iade edilmeyecek kısmı</w:t>
      </w:r>
      <w:r>
        <w:rPr>
          <w:rFonts w:ascii="Times New Roman" w:hAnsi="Times New Roman"/>
        </w:rPr>
        <w:t>;</w:t>
      </w:r>
      <w:r w:rsidRPr="00423657">
        <w:rPr>
          <w:rFonts w:ascii="Times New Roman" w:hAnsi="Times New Roman"/>
        </w:rPr>
        <w:t xml:space="preserve"> </w:t>
      </w:r>
      <w:r>
        <w:rPr>
          <w:rFonts w:ascii="Times New Roman" w:hAnsi="Times New Roman"/>
        </w:rPr>
        <w:t>“</w:t>
      </w:r>
      <w:r w:rsidR="001A0E49" w:rsidRPr="00423657">
        <w:rPr>
          <w:rFonts w:ascii="Times New Roman" w:hAnsi="Times New Roman"/>
        </w:rPr>
        <w:t>2016 yılı için 20.600 TL</w:t>
      </w:r>
      <w:r>
        <w:rPr>
          <w:rFonts w:ascii="Times New Roman" w:hAnsi="Times New Roman"/>
        </w:rPr>
        <w:t>”</w:t>
      </w:r>
      <w:r w:rsidRPr="00423657">
        <w:rPr>
          <w:rFonts w:ascii="Times New Roman" w:hAnsi="Times New Roman"/>
        </w:rPr>
        <w:t xml:space="preserve"> olan ibare </w:t>
      </w:r>
      <w:r>
        <w:rPr>
          <w:rFonts w:ascii="Times New Roman" w:hAnsi="Times New Roman"/>
        </w:rPr>
        <w:t>“</w:t>
      </w:r>
      <w:r w:rsidR="001A0E49">
        <w:rPr>
          <w:rFonts w:ascii="Times New Roman" w:hAnsi="Times New Roman"/>
        </w:rPr>
        <w:t>2017 yılı için 21.4</w:t>
      </w:r>
      <w:r w:rsidRPr="00423657">
        <w:rPr>
          <w:rFonts w:ascii="Times New Roman" w:hAnsi="Times New Roman"/>
        </w:rPr>
        <w:t>00 TL</w:t>
      </w:r>
      <w:r>
        <w:rPr>
          <w:rFonts w:ascii="Times New Roman" w:hAnsi="Times New Roman"/>
        </w:rPr>
        <w:t>” şeklinde değiştirilmiştir.</w:t>
      </w:r>
    </w:p>
    <w:p w:rsidR="00851FEA" w:rsidRPr="00423657" w:rsidRDefault="00851FEA" w:rsidP="00ED2884">
      <w:pPr>
        <w:jc w:val="both"/>
        <w:rPr>
          <w:rFonts w:ascii="Times New Roman" w:hAnsi="Times New Roman"/>
        </w:rPr>
      </w:pPr>
    </w:p>
    <w:p w:rsidR="00851FEA" w:rsidRPr="00423657" w:rsidRDefault="00851FEA" w:rsidP="00ED2884">
      <w:pPr>
        <w:jc w:val="both"/>
        <w:rPr>
          <w:rFonts w:ascii="Times New Roman" w:hAnsi="Times New Roman"/>
          <w:b/>
          <w:i/>
        </w:rPr>
      </w:pPr>
      <w:r w:rsidRPr="00423657">
        <w:rPr>
          <w:rFonts w:ascii="Times New Roman" w:hAnsi="Times New Roman"/>
          <w:b/>
          <w:i/>
        </w:rPr>
        <w:t>Vergi Usul Kanunu:</w:t>
      </w:r>
    </w:p>
    <w:p w:rsidR="00851FEA" w:rsidRPr="00423657" w:rsidRDefault="00851FEA" w:rsidP="00ED2884">
      <w:pPr>
        <w:jc w:val="both"/>
        <w:rPr>
          <w:rFonts w:ascii="Times New Roman" w:hAnsi="Times New Roman"/>
        </w:rPr>
      </w:pPr>
    </w:p>
    <w:p w:rsidR="00851FEA" w:rsidRPr="00423657" w:rsidRDefault="00D6554D" w:rsidP="00851FEA">
      <w:pPr>
        <w:pStyle w:val="ListParagraph"/>
        <w:numPr>
          <w:ilvl w:val="0"/>
          <w:numId w:val="5"/>
        </w:numPr>
        <w:jc w:val="both"/>
        <w:rPr>
          <w:rFonts w:ascii="Times New Roman" w:hAnsi="Times New Roman"/>
        </w:rPr>
      </w:pPr>
      <w:r w:rsidRPr="00423657">
        <w:rPr>
          <w:rFonts w:ascii="Times New Roman" w:hAnsi="Times New Roman"/>
        </w:rPr>
        <w:t>Bazı özel usulsüzlük cezaları</w:t>
      </w:r>
      <w:r w:rsidR="00851FEA" w:rsidRPr="00423657">
        <w:rPr>
          <w:rFonts w:ascii="Times New Roman" w:hAnsi="Times New Roman"/>
        </w:rPr>
        <w:t xml:space="preserve"> aşağıdaki şekilde değiştirilmiştir:</w:t>
      </w:r>
    </w:p>
    <w:p w:rsidR="002906CF" w:rsidRPr="00423657" w:rsidRDefault="002906CF" w:rsidP="002906CF">
      <w:pPr>
        <w:jc w:val="both"/>
        <w:rPr>
          <w:rFonts w:ascii="Times New Roman" w:hAnsi="Times New Roman"/>
        </w:rPr>
      </w:pPr>
    </w:p>
    <w:tbl>
      <w:tblPr>
        <w:tblStyle w:val="TableGrid"/>
        <w:tblW w:w="8881" w:type="dxa"/>
        <w:tblInd w:w="704" w:type="dxa"/>
        <w:tblLook w:val="04A0" w:firstRow="1" w:lastRow="0" w:firstColumn="1" w:lastColumn="0" w:noHBand="0" w:noVBand="1"/>
      </w:tblPr>
      <w:tblGrid>
        <w:gridCol w:w="7400"/>
        <w:gridCol w:w="1481"/>
      </w:tblGrid>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b/>
                <w:bCs/>
                <w:color w:val="000000"/>
                <w:lang w:eastAsia="tr-TR"/>
              </w:rPr>
              <w:t>Özel Usulsüzlük</w:t>
            </w:r>
          </w:p>
        </w:tc>
        <w:tc>
          <w:tcPr>
            <w:tcW w:w="1481" w:type="dxa"/>
            <w:vAlign w:val="center"/>
            <w:hideMark/>
          </w:tcPr>
          <w:p w:rsidR="00045DAE" w:rsidRPr="00423657" w:rsidRDefault="002906CF" w:rsidP="002906CF">
            <w:pPr>
              <w:jc w:val="right"/>
              <w:rPr>
                <w:rFonts w:ascii="Times New Roman" w:eastAsia="Times New Roman" w:hAnsi="Times New Roman"/>
                <w:b/>
                <w:color w:val="000000"/>
                <w:lang w:eastAsia="tr-TR"/>
              </w:rPr>
            </w:pPr>
            <w:r w:rsidRPr="00423657">
              <w:rPr>
                <w:rFonts w:ascii="Times New Roman" w:eastAsia="Times New Roman" w:hAnsi="Times New Roman"/>
                <w:b/>
                <w:color w:val="000000"/>
                <w:lang w:eastAsia="tr-TR"/>
              </w:rPr>
              <w:t>(TL)</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1- Fatura, gider pusulası, müstahsil makbuzu, serbest meslek makbuzu verilmemesi, alınmaması</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2</w:t>
            </w:r>
            <w:r w:rsidR="002906CF" w:rsidRPr="00423657">
              <w:rPr>
                <w:rFonts w:ascii="Times New Roman" w:eastAsia="Times New Roman" w:hAnsi="Times New Roman"/>
                <w:color w:val="000000"/>
                <w:lang w:eastAsia="tr-TR"/>
              </w:rPr>
              <w:t>1</w:t>
            </w:r>
            <w:r w:rsidRPr="00423657">
              <w:rPr>
                <w:rFonts w:ascii="Times New Roman" w:eastAsia="Times New Roman" w:hAnsi="Times New Roman"/>
                <w:color w:val="000000"/>
                <w:lang w:eastAsia="tr-TR"/>
              </w:rPr>
              <w:t>0</w:t>
            </w:r>
          </w:p>
        </w:tc>
      </w:tr>
      <w:tr w:rsidR="00045DAE" w:rsidRPr="00423657" w:rsidTr="006966B4">
        <w:tc>
          <w:tcPr>
            <w:tcW w:w="7400" w:type="dxa"/>
            <w:vAlign w:val="center"/>
            <w:hideMark/>
          </w:tcPr>
          <w:p w:rsidR="00045DAE" w:rsidRPr="00423657" w:rsidRDefault="002906CF" w:rsidP="002906CF">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 xml:space="preserve">- </w:t>
            </w:r>
            <w:r w:rsidR="00045DAE" w:rsidRPr="00423657">
              <w:rPr>
                <w:rFonts w:ascii="Times New Roman" w:eastAsia="Times New Roman" w:hAnsi="Times New Roman"/>
                <w:color w:val="000000"/>
                <w:lang w:eastAsia="tr-TR"/>
              </w:rPr>
              <w:t xml:space="preserve">Bir takvim yılı içinde her </w:t>
            </w:r>
            <w:r w:rsidRPr="00423657">
              <w:rPr>
                <w:rFonts w:ascii="Times New Roman" w:eastAsia="Times New Roman" w:hAnsi="Times New Roman"/>
                <w:color w:val="000000"/>
                <w:lang w:eastAsia="tr-TR"/>
              </w:rPr>
              <w:t>b</w:t>
            </w:r>
            <w:r w:rsidR="00045DAE" w:rsidRPr="00423657">
              <w:rPr>
                <w:rFonts w:ascii="Times New Roman" w:eastAsia="Times New Roman" w:hAnsi="Times New Roman"/>
                <w:color w:val="000000"/>
                <w:lang w:eastAsia="tr-TR"/>
              </w:rPr>
              <w:t>ir belge nevine ilişkin olarak kesilecek toplam ceza</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1</w:t>
            </w:r>
            <w:r w:rsidR="002906CF" w:rsidRPr="00423657">
              <w:rPr>
                <w:rFonts w:ascii="Times New Roman" w:eastAsia="Times New Roman" w:hAnsi="Times New Roman"/>
                <w:color w:val="000000"/>
                <w:lang w:eastAsia="tr-TR"/>
              </w:rPr>
              <w:t>10</w:t>
            </w:r>
            <w:r w:rsidR="00C16AB1">
              <w:rPr>
                <w:rFonts w:ascii="Times New Roman" w:eastAsia="Times New Roman" w:hAnsi="Times New Roman"/>
                <w:color w:val="000000"/>
                <w:lang w:eastAsia="tr-TR"/>
              </w:rPr>
              <w:t>.000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2- Perakende satış fişi, ödeme kaydedici cihaz fişi, giriş ve yolcu taşıma bileti, sevk irsaliyesi, taşıma irsaliyesi, yolcu listesi, günlük müşteri listesi ile Maliye Bakanlığınca düzenleme zorunluluğu getirilen belgelerin düzenlenmemesi, kullanılmaması veya bulundurulmaması</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2</w:t>
            </w:r>
            <w:r w:rsidR="002906CF" w:rsidRPr="00423657">
              <w:rPr>
                <w:rFonts w:ascii="Times New Roman" w:eastAsia="Times New Roman" w:hAnsi="Times New Roman"/>
                <w:color w:val="000000"/>
                <w:lang w:eastAsia="tr-TR"/>
              </w:rPr>
              <w:t>1</w:t>
            </w:r>
            <w:r w:rsidR="00C16AB1">
              <w:rPr>
                <w:rFonts w:ascii="Times New Roman" w:eastAsia="Times New Roman" w:hAnsi="Times New Roman"/>
                <w:color w:val="000000"/>
                <w:lang w:eastAsia="tr-TR"/>
              </w:rPr>
              <w:t>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 Her bir belge nev’ine ilişkin olarak her bir tespit için toplam ceza</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1</w:t>
            </w:r>
            <w:r w:rsidR="002906CF" w:rsidRPr="00423657">
              <w:rPr>
                <w:rFonts w:ascii="Times New Roman" w:eastAsia="Times New Roman" w:hAnsi="Times New Roman"/>
                <w:color w:val="000000"/>
                <w:lang w:eastAsia="tr-TR"/>
              </w:rPr>
              <w:t>1.0</w:t>
            </w:r>
            <w:r w:rsidR="00C16AB1">
              <w:rPr>
                <w:rFonts w:ascii="Times New Roman" w:eastAsia="Times New Roman" w:hAnsi="Times New Roman"/>
                <w:color w:val="000000"/>
                <w:lang w:eastAsia="tr-TR"/>
              </w:rPr>
              <w:t>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 Her bir belge nev’ine ilişkin bir takvim yılı içinde kesilecek toplam ceza</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1</w:t>
            </w:r>
            <w:r w:rsidR="002906CF" w:rsidRPr="00423657">
              <w:rPr>
                <w:rFonts w:ascii="Times New Roman" w:eastAsia="Times New Roman" w:hAnsi="Times New Roman"/>
                <w:color w:val="000000"/>
                <w:lang w:eastAsia="tr-TR"/>
              </w:rPr>
              <w:t>10</w:t>
            </w:r>
            <w:r w:rsidR="00C16AB1">
              <w:rPr>
                <w:rFonts w:ascii="Times New Roman" w:eastAsia="Times New Roman" w:hAnsi="Times New Roman"/>
                <w:color w:val="000000"/>
                <w:lang w:eastAsia="tr-TR"/>
              </w:rPr>
              <w:t>.000</w:t>
            </w:r>
          </w:p>
        </w:tc>
      </w:tr>
      <w:tr w:rsidR="00045DAE" w:rsidRPr="00423657" w:rsidTr="006966B4">
        <w:tc>
          <w:tcPr>
            <w:tcW w:w="7400" w:type="dxa"/>
            <w:vAlign w:val="center"/>
            <w:hideMark/>
          </w:tcPr>
          <w:p w:rsidR="00045DAE" w:rsidRPr="00423657" w:rsidRDefault="00045DAE" w:rsidP="002779A4">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3- Maliye Bakanlığınca tutulma ve günü gününe kayıt edilme mecburiyeti getirilen defterlerin; bulundurulmaması, günü gününe kayıt yapılmaması,</w:t>
            </w:r>
            <w:r w:rsidR="002779A4">
              <w:rPr>
                <w:rFonts w:ascii="Times New Roman" w:eastAsia="Times New Roman" w:hAnsi="Times New Roman"/>
                <w:color w:val="000000"/>
                <w:lang w:eastAsia="tr-TR"/>
              </w:rPr>
              <w:t xml:space="preserve"> </w:t>
            </w:r>
            <w:r w:rsidRPr="00423657">
              <w:rPr>
                <w:rFonts w:ascii="Times New Roman" w:eastAsia="Times New Roman" w:hAnsi="Times New Roman"/>
                <w:color w:val="000000"/>
                <w:lang w:eastAsia="tr-TR"/>
              </w:rPr>
              <w:t>yetkililere ibraz edilmemesi ile levha bulundurma ve asma mecburiyetine uyulmaması</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2</w:t>
            </w:r>
            <w:r w:rsidR="002906CF" w:rsidRPr="00423657">
              <w:rPr>
                <w:rFonts w:ascii="Times New Roman" w:eastAsia="Times New Roman" w:hAnsi="Times New Roman"/>
                <w:color w:val="000000"/>
                <w:lang w:eastAsia="tr-TR"/>
              </w:rPr>
              <w:t>1</w:t>
            </w:r>
            <w:r w:rsidR="00C16AB1">
              <w:rPr>
                <w:rFonts w:ascii="Times New Roman" w:eastAsia="Times New Roman" w:hAnsi="Times New Roman"/>
                <w:color w:val="000000"/>
                <w:lang w:eastAsia="tr-TR"/>
              </w:rPr>
              <w:t>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lastRenderedPageBreak/>
              <w:t>4- Belirlenen muhasebe standartlarına, tek düzen hesap planına ve mali tablolara ilişkin usul ve esaslar ile muhasebeye yönelik bilgisayar programlarının üretilmesine ilişkin kural ve standartlara uyulmaması</w:t>
            </w:r>
          </w:p>
        </w:tc>
        <w:tc>
          <w:tcPr>
            <w:tcW w:w="1481" w:type="dxa"/>
            <w:vAlign w:val="center"/>
            <w:hideMark/>
          </w:tcPr>
          <w:p w:rsidR="00045DAE" w:rsidRPr="00423657" w:rsidRDefault="002906CF" w:rsidP="009B4E93">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5.0</w:t>
            </w:r>
            <w:r w:rsidR="00C16AB1">
              <w:rPr>
                <w:rFonts w:ascii="Times New Roman" w:eastAsia="Times New Roman" w:hAnsi="Times New Roman"/>
                <w:color w:val="000000"/>
                <w:lang w:eastAsia="tr-TR"/>
              </w:rPr>
              <w:t>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5- Kamu kurum ve kuruluşları ile gerçek ve tüzel kişilerce yapılacak işlemlerde kullanılma zorunluluğu getirilen vergi numarasını kullanmaksızın işlem yapanlara</w:t>
            </w:r>
          </w:p>
        </w:tc>
        <w:tc>
          <w:tcPr>
            <w:tcW w:w="1481" w:type="dxa"/>
            <w:vAlign w:val="center"/>
            <w:hideMark/>
          </w:tcPr>
          <w:p w:rsidR="00045DAE" w:rsidRPr="00423657" w:rsidRDefault="00045DAE"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2</w:t>
            </w:r>
            <w:r w:rsidR="002906CF" w:rsidRPr="00423657">
              <w:rPr>
                <w:rFonts w:ascii="Times New Roman" w:eastAsia="Times New Roman" w:hAnsi="Times New Roman"/>
                <w:color w:val="000000"/>
                <w:lang w:eastAsia="tr-TR"/>
              </w:rPr>
              <w:t>6</w:t>
            </w:r>
            <w:r w:rsidR="00C16AB1">
              <w:rPr>
                <w:rFonts w:ascii="Times New Roman" w:eastAsia="Times New Roman" w:hAnsi="Times New Roman"/>
                <w:color w:val="000000"/>
                <w:lang w:eastAsia="tr-TR"/>
              </w:rPr>
              <w:t>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6- Belge basımı ile ilgili bildirim görevini tamamen veya kısmen yerine getirmeyen matbaa işletmecilerine</w:t>
            </w:r>
          </w:p>
        </w:tc>
        <w:tc>
          <w:tcPr>
            <w:tcW w:w="1481" w:type="dxa"/>
            <w:vAlign w:val="center"/>
            <w:hideMark/>
          </w:tcPr>
          <w:p w:rsidR="00045DAE" w:rsidRPr="00423657" w:rsidRDefault="002906CF" w:rsidP="009B4E93">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80</w:t>
            </w:r>
            <w:r w:rsidR="00C16AB1">
              <w:rPr>
                <w:rFonts w:ascii="Times New Roman" w:eastAsia="Times New Roman" w:hAnsi="Times New Roman"/>
                <w:color w:val="000000"/>
                <w:lang w:eastAsia="tr-TR"/>
              </w:rPr>
              <w:t>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 Bu bent uyarınca bir takvim yılı içinde kesilecek toplam özel usulsüzlük cezası</w:t>
            </w:r>
          </w:p>
        </w:tc>
        <w:tc>
          <w:tcPr>
            <w:tcW w:w="1481" w:type="dxa"/>
            <w:vAlign w:val="center"/>
            <w:hideMark/>
          </w:tcPr>
          <w:p w:rsidR="00045DAE" w:rsidRPr="00423657" w:rsidRDefault="00045DAE"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1</w:t>
            </w:r>
            <w:r w:rsidR="002724C7">
              <w:rPr>
                <w:rFonts w:ascii="Times New Roman" w:eastAsia="Times New Roman" w:hAnsi="Times New Roman"/>
                <w:color w:val="000000"/>
                <w:lang w:eastAsia="tr-TR"/>
              </w:rPr>
              <w:t>60</w:t>
            </w:r>
            <w:r w:rsidR="00C16AB1">
              <w:rPr>
                <w:rFonts w:ascii="Times New Roman" w:eastAsia="Times New Roman" w:hAnsi="Times New Roman"/>
                <w:color w:val="000000"/>
                <w:lang w:eastAsia="tr-TR"/>
              </w:rPr>
              <w:t>.000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7- 4358 sayılı Kanun uyarınca vergi kimlik numarası kullanma zorunluluğu getirilen kuruluşlardan yaptıkları işlemlere ilişkin bildirimleri, belirlenen standartlarda ve zamanda yerine getirmeyenlere</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1.</w:t>
            </w:r>
            <w:r w:rsidR="002906CF" w:rsidRPr="00423657">
              <w:rPr>
                <w:rFonts w:ascii="Times New Roman" w:eastAsia="Times New Roman" w:hAnsi="Times New Roman"/>
                <w:color w:val="000000"/>
                <w:lang w:eastAsia="tr-TR"/>
              </w:rPr>
              <w:t>10</w:t>
            </w:r>
            <w:r w:rsidR="00C16AB1">
              <w:rPr>
                <w:rFonts w:ascii="Times New Roman" w:eastAsia="Times New Roman" w:hAnsi="Times New Roman"/>
                <w:color w:val="000000"/>
                <w:lang w:eastAsia="tr-TR"/>
              </w:rPr>
              <w:t>0</w:t>
            </w:r>
          </w:p>
        </w:tc>
      </w:tr>
      <w:tr w:rsidR="00045DAE" w:rsidRPr="00423657" w:rsidTr="006966B4">
        <w:tc>
          <w:tcPr>
            <w:tcW w:w="7400" w:type="dxa"/>
            <w:vAlign w:val="center"/>
            <w:hideMark/>
          </w:tcPr>
          <w:p w:rsidR="00045DAE" w:rsidRPr="00423657" w:rsidRDefault="00045DAE" w:rsidP="006C76D8">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8- 127nci maddenin (d) bendi uyarınca Maliye Bakanlığının özel işaretli görevlisinin ikazına rağmen durmayan aracın sahibi adına</w:t>
            </w:r>
          </w:p>
        </w:tc>
        <w:tc>
          <w:tcPr>
            <w:tcW w:w="1481" w:type="dxa"/>
            <w:vAlign w:val="center"/>
            <w:hideMark/>
          </w:tcPr>
          <w:p w:rsidR="00045DAE" w:rsidRPr="00423657" w:rsidRDefault="002906CF" w:rsidP="009B4E93">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80</w:t>
            </w:r>
            <w:r w:rsidR="00C16AB1">
              <w:rPr>
                <w:rFonts w:ascii="Times New Roman" w:eastAsia="Times New Roman" w:hAnsi="Times New Roman"/>
                <w:color w:val="000000"/>
                <w:lang w:eastAsia="tr-TR"/>
              </w:rPr>
              <w:t>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b/>
                <w:bCs/>
                <w:color w:val="000000"/>
                <w:lang w:eastAsia="tr-TR"/>
              </w:rPr>
              <w:t>Bilgi vermekten çekinenler ile 256, 257 ve mükerrer 257nci madde hükmüne uymayanlar için ceza</w:t>
            </w:r>
          </w:p>
        </w:tc>
        <w:tc>
          <w:tcPr>
            <w:tcW w:w="1481" w:type="dxa"/>
            <w:vAlign w:val="center"/>
            <w:hideMark/>
          </w:tcPr>
          <w:p w:rsidR="00045DAE" w:rsidRPr="00423657" w:rsidRDefault="00045DAE" w:rsidP="00D6554D">
            <w:pPr>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 </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1- Birinci sınıf tüccarlar ile serbest meslek erbabı hakkında</w:t>
            </w:r>
          </w:p>
        </w:tc>
        <w:tc>
          <w:tcPr>
            <w:tcW w:w="1481" w:type="dxa"/>
            <w:vAlign w:val="center"/>
            <w:hideMark/>
          </w:tcPr>
          <w:p w:rsidR="00045DAE" w:rsidRPr="00423657" w:rsidRDefault="00C16AB1" w:rsidP="002906CF">
            <w:pPr>
              <w:spacing w:before="100" w:beforeAutospacing="1" w:after="100" w:afterAutospacing="1"/>
              <w:jc w:val="right"/>
              <w:rPr>
                <w:rFonts w:ascii="Times New Roman" w:eastAsia="Times New Roman" w:hAnsi="Times New Roman"/>
                <w:color w:val="000000"/>
                <w:lang w:eastAsia="tr-TR"/>
              </w:rPr>
            </w:pPr>
            <w:r>
              <w:rPr>
                <w:rFonts w:ascii="Times New Roman" w:eastAsia="Times New Roman" w:hAnsi="Times New Roman"/>
                <w:color w:val="000000"/>
                <w:lang w:eastAsia="tr-TR"/>
              </w:rPr>
              <w:t>1.400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2- İkinci sınıf tüccarlar, defter tutan çiftçiler ile kazancı basit usulde</w:t>
            </w:r>
            <w:r w:rsidRPr="00423657">
              <w:rPr>
                <w:rFonts w:ascii="Times New Roman" w:eastAsia="Times New Roman" w:hAnsi="Times New Roman"/>
                <w:color w:val="000000"/>
                <w:lang w:eastAsia="tr-TR"/>
              </w:rPr>
              <w:br/>
              <w:t>tespit edilenler hakkında</w:t>
            </w:r>
          </w:p>
        </w:tc>
        <w:tc>
          <w:tcPr>
            <w:tcW w:w="1481" w:type="dxa"/>
            <w:vAlign w:val="center"/>
            <w:hideMark/>
          </w:tcPr>
          <w:p w:rsidR="00045DAE" w:rsidRPr="00423657" w:rsidRDefault="002724C7" w:rsidP="002906CF">
            <w:pPr>
              <w:spacing w:before="100" w:beforeAutospacing="1" w:after="100" w:afterAutospacing="1"/>
              <w:jc w:val="right"/>
              <w:rPr>
                <w:rFonts w:ascii="Times New Roman" w:eastAsia="Times New Roman" w:hAnsi="Times New Roman"/>
                <w:color w:val="000000"/>
                <w:lang w:eastAsia="tr-TR"/>
              </w:rPr>
            </w:pPr>
            <w:r>
              <w:rPr>
                <w:rFonts w:ascii="Times New Roman" w:eastAsia="Times New Roman" w:hAnsi="Times New Roman"/>
                <w:color w:val="000000"/>
                <w:lang w:eastAsia="tr-TR"/>
              </w:rPr>
              <w:t>700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3- Yukarıdaki bentlerde yazılı bulunanlar dışında kalanlar hakkında</w:t>
            </w:r>
          </w:p>
        </w:tc>
        <w:tc>
          <w:tcPr>
            <w:tcW w:w="1481" w:type="dxa"/>
            <w:vAlign w:val="center"/>
            <w:hideMark/>
          </w:tcPr>
          <w:p w:rsidR="00045DAE" w:rsidRPr="00423657" w:rsidRDefault="00045DAE"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3</w:t>
            </w:r>
            <w:r w:rsidR="002724C7">
              <w:rPr>
                <w:rFonts w:ascii="Times New Roman" w:eastAsia="Times New Roman" w:hAnsi="Times New Roman"/>
                <w:color w:val="000000"/>
                <w:lang w:eastAsia="tr-TR"/>
              </w:rPr>
              <w:t>50</w:t>
            </w:r>
          </w:p>
        </w:tc>
      </w:tr>
      <w:tr w:rsidR="00045DAE" w:rsidRPr="00423657" w:rsidTr="006966B4">
        <w:tc>
          <w:tcPr>
            <w:tcW w:w="7400" w:type="dxa"/>
            <w:vAlign w:val="center"/>
            <w:hideMark/>
          </w:tcPr>
          <w:p w:rsidR="00045DAE" w:rsidRPr="00423657" w:rsidRDefault="00045DAE" w:rsidP="00045DAE">
            <w:pPr>
              <w:spacing w:before="100" w:beforeAutospacing="1" w:after="100" w:afterAutospacing="1"/>
              <w:rPr>
                <w:rFonts w:ascii="Times New Roman" w:eastAsia="Times New Roman" w:hAnsi="Times New Roman"/>
                <w:color w:val="000000"/>
                <w:lang w:eastAsia="tr-TR"/>
              </w:rPr>
            </w:pPr>
            <w:r w:rsidRPr="00423657">
              <w:rPr>
                <w:rFonts w:ascii="Times New Roman" w:eastAsia="Times New Roman" w:hAnsi="Times New Roman"/>
                <w:color w:val="000000"/>
                <w:lang w:eastAsia="tr-TR"/>
              </w:rPr>
              <w:t>Tahsilat ve ödemelerini banka, benzeri finans kurumları veya posta idarelerince düzenlenen belgelerle tevsik etme zorunluluğuna uymayanlara bir takvim yılı içinde kesilecek toplam özel usulsüzlük cezası</w:t>
            </w:r>
          </w:p>
        </w:tc>
        <w:tc>
          <w:tcPr>
            <w:tcW w:w="1481" w:type="dxa"/>
            <w:vAlign w:val="center"/>
            <w:hideMark/>
          </w:tcPr>
          <w:p w:rsidR="00045DAE" w:rsidRPr="00423657" w:rsidRDefault="009B4E93" w:rsidP="002906CF">
            <w:pPr>
              <w:spacing w:before="100" w:beforeAutospacing="1" w:after="100" w:afterAutospacing="1"/>
              <w:jc w:val="right"/>
              <w:rPr>
                <w:rFonts w:ascii="Times New Roman" w:eastAsia="Times New Roman" w:hAnsi="Times New Roman"/>
                <w:color w:val="000000"/>
                <w:lang w:eastAsia="tr-TR"/>
              </w:rPr>
            </w:pPr>
            <w:r w:rsidRPr="00423657">
              <w:rPr>
                <w:rFonts w:ascii="Times New Roman" w:eastAsia="Times New Roman" w:hAnsi="Times New Roman"/>
                <w:color w:val="000000"/>
                <w:lang w:eastAsia="tr-TR"/>
              </w:rPr>
              <w:t>1.</w:t>
            </w:r>
            <w:r w:rsidR="002906CF" w:rsidRPr="00423657">
              <w:rPr>
                <w:rFonts w:ascii="Times New Roman" w:eastAsia="Times New Roman" w:hAnsi="Times New Roman"/>
                <w:color w:val="000000"/>
                <w:lang w:eastAsia="tr-TR"/>
              </w:rPr>
              <w:t>100</w:t>
            </w:r>
            <w:r w:rsidR="00C16AB1">
              <w:rPr>
                <w:rFonts w:ascii="Times New Roman" w:eastAsia="Times New Roman" w:hAnsi="Times New Roman"/>
                <w:color w:val="000000"/>
                <w:lang w:eastAsia="tr-TR"/>
              </w:rPr>
              <w:t>.000</w:t>
            </w:r>
          </w:p>
        </w:tc>
      </w:tr>
      <w:tr w:rsidR="00C16AB1" w:rsidRPr="00423657" w:rsidTr="006966B4">
        <w:tc>
          <w:tcPr>
            <w:tcW w:w="7400" w:type="dxa"/>
            <w:vAlign w:val="center"/>
          </w:tcPr>
          <w:p w:rsidR="00C16AB1" w:rsidRPr="00423657" w:rsidRDefault="00C16AB1" w:rsidP="00045DAE">
            <w:pPr>
              <w:spacing w:before="100" w:beforeAutospacing="1" w:after="100" w:afterAutospacing="1"/>
              <w:rPr>
                <w:rFonts w:ascii="Times New Roman" w:eastAsia="Times New Roman" w:hAnsi="Times New Roman"/>
                <w:color w:val="000000"/>
                <w:lang w:eastAsia="tr-TR"/>
              </w:rPr>
            </w:pPr>
            <w:r>
              <w:rPr>
                <w:rFonts w:ascii="Times New Roman" w:eastAsia="Times New Roman" w:hAnsi="Times New Roman"/>
                <w:color w:val="000000"/>
                <w:lang w:eastAsia="tr-TR"/>
              </w:rPr>
              <w:t>Kullanılan sahte ve muhteviyatı itibarıyla yanıltıcı belge tutarı</w:t>
            </w:r>
          </w:p>
        </w:tc>
        <w:tc>
          <w:tcPr>
            <w:tcW w:w="1481" w:type="dxa"/>
            <w:vAlign w:val="center"/>
          </w:tcPr>
          <w:p w:rsidR="00C16AB1" w:rsidRPr="00423657" w:rsidRDefault="00C16AB1" w:rsidP="002906CF">
            <w:pPr>
              <w:spacing w:before="100" w:beforeAutospacing="1" w:after="100" w:afterAutospacing="1"/>
              <w:jc w:val="right"/>
              <w:rPr>
                <w:rFonts w:ascii="Times New Roman" w:eastAsia="Times New Roman" w:hAnsi="Times New Roman"/>
                <w:color w:val="000000"/>
                <w:lang w:eastAsia="tr-TR"/>
              </w:rPr>
            </w:pPr>
            <w:r>
              <w:rPr>
                <w:rFonts w:ascii="Times New Roman" w:eastAsia="Times New Roman" w:hAnsi="Times New Roman"/>
                <w:color w:val="000000"/>
                <w:lang w:eastAsia="tr-TR"/>
              </w:rPr>
              <w:t>50.000</w:t>
            </w:r>
          </w:p>
        </w:tc>
      </w:tr>
    </w:tbl>
    <w:p w:rsidR="00851FEA" w:rsidRPr="00423657" w:rsidRDefault="00851FEA" w:rsidP="00ED2884">
      <w:pPr>
        <w:jc w:val="both"/>
        <w:rPr>
          <w:rFonts w:ascii="Times New Roman" w:hAnsi="Times New Roman"/>
        </w:rPr>
      </w:pPr>
    </w:p>
    <w:p w:rsidR="004C1075" w:rsidRPr="00423657" w:rsidRDefault="00ED2884" w:rsidP="00ED2884">
      <w:pPr>
        <w:jc w:val="both"/>
        <w:rPr>
          <w:rFonts w:ascii="Times New Roman" w:hAnsi="Times New Roman"/>
          <w:b/>
          <w:i/>
        </w:rPr>
      </w:pPr>
      <w:r w:rsidRPr="00423657">
        <w:rPr>
          <w:rFonts w:ascii="Times New Roman" w:hAnsi="Times New Roman"/>
          <w:b/>
          <w:i/>
        </w:rPr>
        <w:t>Damga Vergisi</w:t>
      </w:r>
      <w:r w:rsidR="007320D7">
        <w:rPr>
          <w:rFonts w:ascii="Times New Roman" w:hAnsi="Times New Roman"/>
          <w:b/>
          <w:i/>
        </w:rPr>
        <w:t xml:space="preserve"> &amp; Harçlar</w:t>
      </w:r>
      <w:r w:rsidRPr="00423657">
        <w:rPr>
          <w:rFonts w:ascii="Times New Roman" w:hAnsi="Times New Roman"/>
          <w:b/>
          <w:i/>
        </w:rPr>
        <w:t>:</w:t>
      </w:r>
    </w:p>
    <w:p w:rsidR="006214DD" w:rsidRPr="00423657" w:rsidRDefault="006214DD" w:rsidP="00ED2884">
      <w:pPr>
        <w:jc w:val="both"/>
        <w:rPr>
          <w:rFonts w:ascii="Times New Roman" w:hAnsi="Times New Roman"/>
          <w:i/>
        </w:rPr>
      </w:pPr>
    </w:p>
    <w:p w:rsidR="00A52739" w:rsidRPr="00423657" w:rsidRDefault="00A52739" w:rsidP="009B4E93">
      <w:pPr>
        <w:pStyle w:val="ListParagraph"/>
        <w:numPr>
          <w:ilvl w:val="0"/>
          <w:numId w:val="5"/>
        </w:numPr>
        <w:jc w:val="both"/>
        <w:rPr>
          <w:rFonts w:ascii="Times New Roman" w:hAnsi="Times New Roman"/>
        </w:rPr>
      </w:pPr>
      <w:r w:rsidRPr="00423657">
        <w:rPr>
          <w:rFonts w:ascii="Times New Roman" w:hAnsi="Times New Roman"/>
        </w:rPr>
        <w:t xml:space="preserve">Her bir </w:t>
      </w:r>
      <w:proofErr w:type="gramStart"/>
      <w:r w:rsidR="000F4836" w:rsidRPr="00423657">
        <w:rPr>
          <w:rFonts w:ascii="Times New Roman" w:hAnsi="Times New Roman"/>
        </w:rPr>
        <w:t>kağıttan</w:t>
      </w:r>
      <w:proofErr w:type="gramEnd"/>
      <w:r w:rsidRPr="00423657">
        <w:rPr>
          <w:rFonts w:ascii="Times New Roman" w:hAnsi="Times New Roman"/>
        </w:rPr>
        <w:t xml:space="preserve"> alınacak damga vergisine ilişkin üst sınır yeniden değerleme oranında artırılmış ve </w:t>
      </w:r>
      <w:r w:rsidR="00B4023C" w:rsidRPr="00423657">
        <w:rPr>
          <w:rFonts w:ascii="Times New Roman" w:hAnsi="Times New Roman"/>
        </w:rPr>
        <w:t>01.01.201</w:t>
      </w:r>
      <w:r w:rsidR="002724C7">
        <w:rPr>
          <w:rFonts w:ascii="Times New Roman" w:hAnsi="Times New Roman"/>
        </w:rPr>
        <w:t>7</w:t>
      </w:r>
      <w:r w:rsidRPr="00423657">
        <w:rPr>
          <w:rFonts w:ascii="Times New Roman" w:hAnsi="Times New Roman"/>
        </w:rPr>
        <w:t xml:space="preserve"> tarihinden itibaren </w:t>
      </w:r>
      <w:r w:rsidR="002724C7" w:rsidRPr="002724C7">
        <w:rPr>
          <w:rFonts w:ascii="Times New Roman" w:hAnsi="Times New Roman"/>
        </w:rPr>
        <w:t>1.865.946,80</w:t>
      </w:r>
      <w:r w:rsidR="002724C7" w:rsidRPr="00423657">
        <w:rPr>
          <w:rFonts w:ascii="Times New Roman" w:hAnsi="Times New Roman"/>
        </w:rPr>
        <w:t xml:space="preserve"> </w:t>
      </w:r>
      <w:r w:rsidR="00B4023C" w:rsidRPr="00423657">
        <w:rPr>
          <w:rFonts w:ascii="Times New Roman" w:hAnsi="Times New Roman"/>
        </w:rPr>
        <w:t>TL</w:t>
      </w:r>
      <w:r w:rsidRPr="00423657">
        <w:rPr>
          <w:rFonts w:ascii="Times New Roman" w:hAnsi="Times New Roman"/>
        </w:rPr>
        <w:t xml:space="preserve"> olmuştur.</w:t>
      </w:r>
    </w:p>
    <w:p w:rsidR="00751475" w:rsidRPr="002724C7" w:rsidRDefault="00A52739" w:rsidP="002779A4">
      <w:pPr>
        <w:pStyle w:val="ListParagraph"/>
        <w:numPr>
          <w:ilvl w:val="0"/>
          <w:numId w:val="5"/>
        </w:numPr>
        <w:rPr>
          <w:rStyle w:val="Hyperlink"/>
          <w:rFonts w:ascii="Times New Roman" w:hAnsi="Times New Roman"/>
        </w:rPr>
      </w:pPr>
      <w:r w:rsidRPr="00423657">
        <w:rPr>
          <w:rFonts w:ascii="Times New Roman" w:hAnsi="Times New Roman"/>
        </w:rPr>
        <w:t xml:space="preserve">Yeni </w:t>
      </w:r>
      <w:r w:rsidR="00B4023C" w:rsidRPr="00423657">
        <w:rPr>
          <w:rFonts w:ascii="Times New Roman" w:hAnsi="Times New Roman"/>
        </w:rPr>
        <w:t>maktu damga vergisi</w:t>
      </w:r>
      <w:r w:rsidRPr="00423657">
        <w:rPr>
          <w:rFonts w:ascii="Times New Roman" w:hAnsi="Times New Roman"/>
        </w:rPr>
        <w:t xml:space="preserve"> </w:t>
      </w:r>
      <w:r w:rsidR="00B4023C" w:rsidRPr="00423657">
        <w:rPr>
          <w:rFonts w:ascii="Times New Roman" w:hAnsi="Times New Roman"/>
        </w:rPr>
        <w:t>tutarları</w:t>
      </w:r>
      <w:r w:rsidR="000F4836" w:rsidRPr="00423657">
        <w:rPr>
          <w:rFonts w:ascii="Times New Roman" w:hAnsi="Times New Roman"/>
        </w:rPr>
        <w:t xml:space="preserve"> için lütfen </w:t>
      </w:r>
      <w:r w:rsidR="002724C7">
        <w:rPr>
          <w:rFonts w:ascii="Times New Roman" w:hAnsi="Times New Roman"/>
        </w:rPr>
        <w:fldChar w:fldCharType="begin"/>
      </w:r>
      <w:r w:rsidR="002724C7">
        <w:rPr>
          <w:rFonts w:ascii="Times New Roman" w:hAnsi="Times New Roman"/>
        </w:rPr>
        <w:instrText xml:space="preserve"> HYPERLINK "http://www.resmigazete.gov.tr/eskiler/2016/12/20161227-11-1.pdf" </w:instrText>
      </w:r>
      <w:r w:rsidR="002724C7">
        <w:rPr>
          <w:rFonts w:ascii="Times New Roman" w:hAnsi="Times New Roman"/>
        </w:rPr>
        <w:fldChar w:fldCharType="separate"/>
      </w:r>
      <w:r w:rsidR="000F4836" w:rsidRPr="002724C7">
        <w:rPr>
          <w:rStyle w:val="Hyperlink"/>
          <w:rFonts w:ascii="Times New Roman" w:hAnsi="Times New Roman"/>
        </w:rPr>
        <w:t>tıkl</w:t>
      </w:r>
      <w:r w:rsidR="000F4836" w:rsidRPr="002724C7">
        <w:rPr>
          <w:rStyle w:val="Hyperlink"/>
          <w:rFonts w:ascii="Times New Roman" w:hAnsi="Times New Roman"/>
        </w:rPr>
        <w:t>a</w:t>
      </w:r>
      <w:r w:rsidR="000F4836" w:rsidRPr="002724C7">
        <w:rPr>
          <w:rStyle w:val="Hyperlink"/>
          <w:rFonts w:ascii="Times New Roman" w:hAnsi="Times New Roman"/>
        </w:rPr>
        <w:t>yınız.</w:t>
      </w:r>
    </w:p>
    <w:p w:rsidR="007320D7" w:rsidRPr="002779A4" w:rsidRDefault="002724C7" w:rsidP="007320D7">
      <w:pPr>
        <w:pStyle w:val="ListParagraph"/>
        <w:numPr>
          <w:ilvl w:val="0"/>
          <w:numId w:val="5"/>
        </w:numPr>
        <w:jc w:val="both"/>
        <w:rPr>
          <w:rFonts w:ascii="Times New Roman" w:hAnsi="Times New Roman"/>
        </w:rPr>
      </w:pPr>
      <w:r>
        <w:rPr>
          <w:rFonts w:ascii="Times New Roman" w:hAnsi="Times New Roman"/>
        </w:rPr>
        <w:fldChar w:fldCharType="end"/>
      </w:r>
      <w:r w:rsidR="007320D7" w:rsidRPr="007320D7">
        <w:rPr>
          <w:rFonts w:ascii="Times New Roman" w:hAnsi="Times New Roman"/>
        </w:rPr>
        <w:t xml:space="preserve">Yeni </w:t>
      </w:r>
      <w:r w:rsidR="006966B4">
        <w:rPr>
          <w:rFonts w:ascii="Times New Roman" w:hAnsi="Times New Roman"/>
        </w:rPr>
        <w:t xml:space="preserve">harç oranları için lütfen </w:t>
      </w:r>
      <w:hyperlink r:id="rId9" w:history="1">
        <w:r w:rsidR="006966B4" w:rsidRPr="00CF2873">
          <w:rPr>
            <w:rStyle w:val="Hyperlink"/>
            <w:rFonts w:ascii="Times New Roman" w:hAnsi="Times New Roman"/>
          </w:rPr>
          <w:t>tıklay</w:t>
        </w:r>
        <w:r w:rsidR="006966B4" w:rsidRPr="00CF2873">
          <w:rPr>
            <w:rStyle w:val="Hyperlink"/>
            <w:rFonts w:ascii="Times New Roman" w:hAnsi="Times New Roman"/>
          </w:rPr>
          <w:t>ı</w:t>
        </w:r>
        <w:r w:rsidR="006966B4" w:rsidRPr="00CF2873">
          <w:rPr>
            <w:rStyle w:val="Hyperlink"/>
            <w:rFonts w:ascii="Times New Roman" w:hAnsi="Times New Roman"/>
          </w:rPr>
          <w:t>nız</w:t>
        </w:r>
        <w:r w:rsidR="00CF2873" w:rsidRPr="00CF2873">
          <w:rPr>
            <w:rStyle w:val="Hyperlink"/>
            <w:rFonts w:ascii="Times New Roman" w:hAnsi="Times New Roman"/>
          </w:rPr>
          <w:t>.</w:t>
        </w:r>
      </w:hyperlink>
    </w:p>
    <w:p w:rsidR="000F4836" w:rsidRPr="00423657" w:rsidRDefault="000F4836" w:rsidP="000F4836">
      <w:pPr>
        <w:rPr>
          <w:rFonts w:ascii="Times New Roman" w:hAnsi="Times New Roman"/>
        </w:rPr>
      </w:pPr>
    </w:p>
    <w:p w:rsidR="00751475" w:rsidRPr="00423657" w:rsidRDefault="00751475" w:rsidP="00751475">
      <w:pPr>
        <w:jc w:val="both"/>
        <w:rPr>
          <w:rFonts w:ascii="Times New Roman" w:hAnsi="Times New Roman"/>
          <w:b/>
          <w:i/>
        </w:rPr>
      </w:pPr>
      <w:r w:rsidRPr="00423657">
        <w:rPr>
          <w:rFonts w:ascii="Times New Roman" w:hAnsi="Times New Roman"/>
          <w:b/>
          <w:i/>
        </w:rPr>
        <w:t>Veraset ve İntikal Vergisi:</w:t>
      </w:r>
    </w:p>
    <w:p w:rsidR="00751475" w:rsidRPr="00423657" w:rsidRDefault="00751475" w:rsidP="00751475">
      <w:pPr>
        <w:jc w:val="both"/>
        <w:rPr>
          <w:rFonts w:ascii="Times New Roman" w:hAnsi="Times New Roman"/>
          <w:i/>
        </w:rPr>
      </w:pPr>
    </w:p>
    <w:p w:rsidR="00751475" w:rsidRPr="00423657" w:rsidRDefault="00751475" w:rsidP="00B7266C">
      <w:pPr>
        <w:pStyle w:val="ListParagraph"/>
        <w:numPr>
          <w:ilvl w:val="0"/>
          <w:numId w:val="5"/>
        </w:numPr>
        <w:jc w:val="both"/>
        <w:rPr>
          <w:rFonts w:ascii="Times New Roman" w:hAnsi="Times New Roman"/>
        </w:rPr>
      </w:pPr>
      <w:r w:rsidRPr="00423657">
        <w:rPr>
          <w:rFonts w:ascii="Times New Roman" w:hAnsi="Times New Roman"/>
        </w:rPr>
        <w:t>201</w:t>
      </w:r>
      <w:r w:rsidR="00E41711">
        <w:rPr>
          <w:rFonts w:ascii="Times New Roman" w:hAnsi="Times New Roman"/>
        </w:rPr>
        <w:t>7</w:t>
      </w:r>
      <w:r w:rsidRPr="00423657">
        <w:rPr>
          <w:rFonts w:ascii="Times New Roman" w:hAnsi="Times New Roman"/>
        </w:rPr>
        <w:t xml:space="preserve"> yılına ilişkin, Veraset ve İntikal Vergisi tarifesinin dilimleri aşağıdaki şekilde değiştirilmiştir:</w:t>
      </w:r>
    </w:p>
    <w:tbl>
      <w:tblPr>
        <w:tblStyle w:val="TableGrid"/>
        <w:tblW w:w="8305" w:type="dxa"/>
        <w:tblInd w:w="704" w:type="dxa"/>
        <w:tblLook w:val="04A0" w:firstRow="1" w:lastRow="0" w:firstColumn="1" w:lastColumn="0" w:noHBand="0" w:noVBand="1"/>
      </w:tblPr>
      <w:tblGrid>
        <w:gridCol w:w="4194"/>
        <w:gridCol w:w="2268"/>
        <w:gridCol w:w="1843"/>
      </w:tblGrid>
      <w:tr w:rsidR="00751475" w:rsidRPr="00423657" w:rsidTr="006966B4">
        <w:tc>
          <w:tcPr>
            <w:tcW w:w="4194" w:type="dxa"/>
            <w:vAlign w:val="center"/>
          </w:tcPr>
          <w:p w:rsidR="00751475" w:rsidRPr="00423657" w:rsidRDefault="00657792" w:rsidP="00657792">
            <w:pPr>
              <w:jc w:val="center"/>
              <w:rPr>
                <w:rFonts w:ascii="Times New Roman" w:hAnsi="Times New Roman"/>
                <w:b/>
              </w:rPr>
            </w:pPr>
            <w:r w:rsidRPr="00423657">
              <w:rPr>
                <w:rFonts w:ascii="Times New Roman" w:hAnsi="Times New Roman"/>
                <w:b/>
              </w:rPr>
              <w:t>Matrah</w:t>
            </w:r>
          </w:p>
        </w:tc>
        <w:tc>
          <w:tcPr>
            <w:tcW w:w="2268" w:type="dxa"/>
            <w:vAlign w:val="center"/>
          </w:tcPr>
          <w:p w:rsidR="00751475" w:rsidRPr="00423657" w:rsidRDefault="00751475" w:rsidP="00657792">
            <w:pPr>
              <w:jc w:val="center"/>
              <w:rPr>
                <w:rFonts w:ascii="Times New Roman" w:hAnsi="Times New Roman"/>
                <w:b/>
              </w:rPr>
            </w:pPr>
            <w:r w:rsidRPr="00423657">
              <w:rPr>
                <w:rFonts w:ascii="Times New Roman" w:hAnsi="Times New Roman"/>
                <w:b/>
              </w:rPr>
              <w:t xml:space="preserve">Veraset </w:t>
            </w:r>
            <w:r w:rsidR="00657792" w:rsidRPr="00423657">
              <w:rPr>
                <w:rFonts w:ascii="Times New Roman" w:hAnsi="Times New Roman"/>
                <w:b/>
              </w:rPr>
              <w:t>Y</w:t>
            </w:r>
            <w:r w:rsidRPr="00423657">
              <w:rPr>
                <w:rFonts w:ascii="Times New Roman" w:hAnsi="Times New Roman"/>
                <w:b/>
              </w:rPr>
              <w:t xml:space="preserve">oluyla </w:t>
            </w:r>
            <w:r w:rsidR="00657792" w:rsidRPr="00423657">
              <w:rPr>
                <w:rFonts w:ascii="Times New Roman" w:hAnsi="Times New Roman"/>
                <w:b/>
              </w:rPr>
              <w:t>İ</w:t>
            </w:r>
            <w:r w:rsidRPr="00423657">
              <w:rPr>
                <w:rFonts w:ascii="Times New Roman" w:hAnsi="Times New Roman"/>
                <w:b/>
              </w:rPr>
              <w:t>ntikallerde (%)</w:t>
            </w:r>
          </w:p>
        </w:tc>
        <w:tc>
          <w:tcPr>
            <w:tcW w:w="1843" w:type="dxa"/>
            <w:vAlign w:val="center"/>
          </w:tcPr>
          <w:p w:rsidR="00751475" w:rsidRPr="00423657" w:rsidRDefault="00657792" w:rsidP="00657792">
            <w:pPr>
              <w:jc w:val="center"/>
              <w:rPr>
                <w:rFonts w:ascii="Times New Roman" w:hAnsi="Times New Roman"/>
                <w:b/>
              </w:rPr>
            </w:pPr>
            <w:r w:rsidRPr="00423657">
              <w:rPr>
                <w:rFonts w:ascii="Times New Roman" w:hAnsi="Times New Roman"/>
                <w:b/>
              </w:rPr>
              <w:t>İ</w:t>
            </w:r>
            <w:r w:rsidR="00751475" w:rsidRPr="00423657">
              <w:rPr>
                <w:rFonts w:ascii="Times New Roman" w:hAnsi="Times New Roman"/>
                <w:b/>
              </w:rPr>
              <w:t>va</w:t>
            </w:r>
            <w:r w:rsidR="00B7266C" w:rsidRPr="00423657">
              <w:rPr>
                <w:rFonts w:ascii="Times New Roman" w:hAnsi="Times New Roman"/>
                <w:b/>
              </w:rPr>
              <w:t>z</w:t>
            </w:r>
            <w:r w:rsidR="00751475" w:rsidRPr="00423657">
              <w:rPr>
                <w:rFonts w:ascii="Times New Roman" w:hAnsi="Times New Roman"/>
                <w:b/>
              </w:rPr>
              <w:t>sız</w:t>
            </w:r>
            <w:r w:rsidR="00B7266C" w:rsidRPr="00423657">
              <w:rPr>
                <w:rFonts w:ascii="Times New Roman" w:hAnsi="Times New Roman"/>
                <w:b/>
              </w:rPr>
              <w:t xml:space="preserve"> </w:t>
            </w:r>
            <w:r w:rsidRPr="00423657">
              <w:rPr>
                <w:rFonts w:ascii="Times New Roman" w:hAnsi="Times New Roman"/>
                <w:b/>
              </w:rPr>
              <w:t>İ</w:t>
            </w:r>
            <w:r w:rsidR="00B7266C" w:rsidRPr="00423657">
              <w:rPr>
                <w:rFonts w:ascii="Times New Roman" w:hAnsi="Times New Roman"/>
                <w:b/>
              </w:rPr>
              <w:t>ntikallerde (%)</w:t>
            </w:r>
          </w:p>
        </w:tc>
      </w:tr>
      <w:tr w:rsidR="00751475" w:rsidRPr="00423657" w:rsidTr="006966B4">
        <w:tc>
          <w:tcPr>
            <w:tcW w:w="4194" w:type="dxa"/>
            <w:vAlign w:val="center"/>
          </w:tcPr>
          <w:p w:rsidR="00751475" w:rsidRPr="00423657" w:rsidRDefault="00751475" w:rsidP="002448B6">
            <w:pPr>
              <w:rPr>
                <w:rFonts w:ascii="Times New Roman" w:hAnsi="Times New Roman"/>
              </w:rPr>
            </w:pPr>
            <w:r w:rsidRPr="00423657">
              <w:rPr>
                <w:rFonts w:ascii="Times New Roman" w:hAnsi="Times New Roman"/>
              </w:rPr>
              <w:t xml:space="preserve">İlk </w:t>
            </w:r>
            <w:r w:rsidR="00657792" w:rsidRPr="00423657">
              <w:rPr>
                <w:rFonts w:ascii="Times New Roman" w:hAnsi="Times New Roman"/>
              </w:rPr>
              <w:t>21</w:t>
            </w:r>
            <w:r w:rsidRPr="00423657">
              <w:rPr>
                <w:rFonts w:ascii="Times New Roman" w:hAnsi="Times New Roman"/>
              </w:rPr>
              <w:t>0.000 TL için</w:t>
            </w:r>
          </w:p>
        </w:tc>
        <w:tc>
          <w:tcPr>
            <w:tcW w:w="2268" w:type="dxa"/>
            <w:vAlign w:val="center"/>
          </w:tcPr>
          <w:p w:rsidR="00751475" w:rsidRPr="00423657" w:rsidRDefault="00B7266C" w:rsidP="00B7266C">
            <w:pPr>
              <w:jc w:val="center"/>
              <w:rPr>
                <w:rFonts w:ascii="Times New Roman" w:hAnsi="Times New Roman"/>
              </w:rPr>
            </w:pPr>
            <w:r w:rsidRPr="00423657">
              <w:rPr>
                <w:rFonts w:ascii="Times New Roman" w:hAnsi="Times New Roman"/>
              </w:rPr>
              <w:t>1</w:t>
            </w:r>
          </w:p>
        </w:tc>
        <w:tc>
          <w:tcPr>
            <w:tcW w:w="1843" w:type="dxa"/>
            <w:vAlign w:val="center"/>
          </w:tcPr>
          <w:p w:rsidR="00751475" w:rsidRPr="00423657" w:rsidRDefault="00B7266C" w:rsidP="00B7266C">
            <w:pPr>
              <w:jc w:val="center"/>
              <w:rPr>
                <w:rFonts w:ascii="Times New Roman" w:hAnsi="Times New Roman"/>
              </w:rPr>
            </w:pPr>
            <w:r w:rsidRPr="00423657">
              <w:rPr>
                <w:rFonts w:ascii="Times New Roman" w:hAnsi="Times New Roman"/>
              </w:rPr>
              <w:t>10</w:t>
            </w:r>
          </w:p>
        </w:tc>
      </w:tr>
      <w:tr w:rsidR="00751475" w:rsidRPr="00423657" w:rsidTr="006966B4">
        <w:tc>
          <w:tcPr>
            <w:tcW w:w="4194" w:type="dxa"/>
            <w:vAlign w:val="center"/>
          </w:tcPr>
          <w:p w:rsidR="00751475" w:rsidRPr="00423657" w:rsidRDefault="00751475" w:rsidP="00657792">
            <w:pPr>
              <w:rPr>
                <w:rFonts w:ascii="Times New Roman" w:hAnsi="Times New Roman"/>
              </w:rPr>
            </w:pPr>
            <w:r w:rsidRPr="00423657">
              <w:rPr>
                <w:rFonts w:ascii="Times New Roman" w:hAnsi="Times New Roman"/>
              </w:rPr>
              <w:t xml:space="preserve">Sonra gelen </w:t>
            </w:r>
            <w:r w:rsidR="00657792" w:rsidRPr="00423657">
              <w:rPr>
                <w:rFonts w:ascii="Times New Roman" w:hAnsi="Times New Roman"/>
              </w:rPr>
              <w:t>500</w:t>
            </w:r>
            <w:r w:rsidRPr="00423657">
              <w:rPr>
                <w:rFonts w:ascii="Times New Roman" w:hAnsi="Times New Roman"/>
              </w:rPr>
              <w:t>.000 TL için</w:t>
            </w:r>
          </w:p>
        </w:tc>
        <w:tc>
          <w:tcPr>
            <w:tcW w:w="2268" w:type="dxa"/>
            <w:vAlign w:val="center"/>
          </w:tcPr>
          <w:p w:rsidR="00751475" w:rsidRPr="00423657" w:rsidRDefault="00B7266C" w:rsidP="00B7266C">
            <w:pPr>
              <w:jc w:val="center"/>
              <w:rPr>
                <w:rFonts w:ascii="Times New Roman" w:hAnsi="Times New Roman"/>
              </w:rPr>
            </w:pPr>
            <w:r w:rsidRPr="00423657">
              <w:rPr>
                <w:rFonts w:ascii="Times New Roman" w:hAnsi="Times New Roman"/>
              </w:rPr>
              <w:t>3</w:t>
            </w:r>
          </w:p>
        </w:tc>
        <w:tc>
          <w:tcPr>
            <w:tcW w:w="1843" w:type="dxa"/>
            <w:vAlign w:val="center"/>
          </w:tcPr>
          <w:p w:rsidR="00751475" w:rsidRPr="00423657" w:rsidRDefault="00B7266C" w:rsidP="00B7266C">
            <w:pPr>
              <w:jc w:val="center"/>
              <w:rPr>
                <w:rFonts w:ascii="Times New Roman" w:hAnsi="Times New Roman"/>
              </w:rPr>
            </w:pPr>
            <w:r w:rsidRPr="00423657">
              <w:rPr>
                <w:rFonts w:ascii="Times New Roman" w:hAnsi="Times New Roman"/>
              </w:rPr>
              <w:t>15</w:t>
            </w:r>
          </w:p>
        </w:tc>
      </w:tr>
      <w:tr w:rsidR="00751475" w:rsidRPr="00423657" w:rsidTr="006966B4">
        <w:tc>
          <w:tcPr>
            <w:tcW w:w="4194" w:type="dxa"/>
            <w:vAlign w:val="center"/>
          </w:tcPr>
          <w:p w:rsidR="00751475" w:rsidRPr="00423657" w:rsidRDefault="00751475" w:rsidP="00657792">
            <w:pPr>
              <w:rPr>
                <w:rFonts w:ascii="Times New Roman" w:hAnsi="Times New Roman"/>
              </w:rPr>
            </w:pPr>
            <w:r w:rsidRPr="00423657">
              <w:rPr>
                <w:rFonts w:ascii="Times New Roman" w:hAnsi="Times New Roman"/>
              </w:rPr>
              <w:t xml:space="preserve">Sonra gelen </w:t>
            </w:r>
            <w:r w:rsidR="002448B6" w:rsidRPr="00423657">
              <w:rPr>
                <w:rFonts w:ascii="Times New Roman" w:hAnsi="Times New Roman"/>
              </w:rPr>
              <w:t>1.</w:t>
            </w:r>
            <w:r w:rsidR="00657792" w:rsidRPr="00423657">
              <w:rPr>
                <w:rFonts w:ascii="Times New Roman" w:hAnsi="Times New Roman"/>
              </w:rPr>
              <w:t>110</w:t>
            </w:r>
            <w:r w:rsidRPr="00423657">
              <w:rPr>
                <w:rFonts w:ascii="Times New Roman" w:hAnsi="Times New Roman"/>
              </w:rPr>
              <w:t>.000 TL için</w:t>
            </w:r>
          </w:p>
        </w:tc>
        <w:tc>
          <w:tcPr>
            <w:tcW w:w="2268" w:type="dxa"/>
            <w:vAlign w:val="center"/>
          </w:tcPr>
          <w:p w:rsidR="00751475" w:rsidRPr="00423657" w:rsidRDefault="00B7266C" w:rsidP="00B7266C">
            <w:pPr>
              <w:jc w:val="center"/>
              <w:rPr>
                <w:rFonts w:ascii="Times New Roman" w:hAnsi="Times New Roman"/>
              </w:rPr>
            </w:pPr>
            <w:r w:rsidRPr="00423657">
              <w:rPr>
                <w:rFonts w:ascii="Times New Roman" w:hAnsi="Times New Roman"/>
              </w:rPr>
              <w:t>5</w:t>
            </w:r>
          </w:p>
        </w:tc>
        <w:tc>
          <w:tcPr>
            <w:tcW w:w="1843" w:type="dxa"/>
            <w:vAlign w:val="center"/>
          </w:tcPr>
          <w:p w:rsidR="00751475" w:rsidRPr="00423657" w:rsidRDefault="00B7266C" w:rsidP="00B7266C">
            <w:pPr>
              <w:jc w:val="center"/>
              <w:rPr>
                <w:rFonts w:ascii="Times New Roman" w:hAnsi="Times New Roman"/>
              </w:rPr>
            </w:pPr>
            <w:r w:rsidRPr="00423657">
              <w:rPr>
                <w:rFonts w:ascii="Times New Roman" w:hAnsi="Times New Roman"/>
              </w:rPr>
              <w:t>20</w:t>
            </w:r>
          </w:p>
        </w:tc>
      </w:tr>
      <w:tr w:rsidR="00751475" w:rsidRPr="00423657" w:rsidTr="006966B4">
        <w:tc>
          <w:tcPr>
            <w:tcW w:w="4194" w:type="dxa"/>
            <w:vAlign w:val="center"/>
          </w:tcPr>
          <w:p w:rsidR="00751475" w:rsidRPr="00423657" w:rsidRDefault="00751475" w:rsidP="00657792">
            <w:pPr>
              <w:rPr>
                <w:rFonts w:ascii="Times New Roman" w:hAnsi="Times New Roman"/>
              </w:rPr>
            </w:pPr>
            <w:r w:rsidRPr="00423657">
              <w:rPr>
                <w:rFonts w:ascii="Times New Roman" w:hAnsi="Times New Roman"/>
              </w:rPr>
              <w:t xml:space="preserve">Sonra gelen </w:t>
            </w:r>
            <w:r w:rsidR="00657792" w:rsidRPr="00423657">
              <w:rPr>
                <w:rFonts w:ascii="Times New Roman" w:hAnsi="Times New Roman"/>
              </w:rPr>
              <w:t>2.0</w:t>
            </w:r>
            <w:r w:rsidRPr="00423657">
              <w:rPr>
                <w:rFonts w:ascii="Times New Roman" w:hAnsi="Times New Roman"/>
              </w:rPr>
              <w:t>00.000 TL için</w:t>
            </w:r>
          </w:p>
        </w:tc>
        <w:tc>
          <w:tcPr>
            <w:tcW w:w="2268" w:type="dxa"/>
            <w:vAlign w:val="center"/>
          </w:tcPr>
          <w:p w:rsidR="00751475" w:rsidRPr="00423657" w:rsidRDefault="00B7266C" w:rsidP="00B7266C">
            <w:pPr>
              <w:jc w:val="center"/>
              <w:rPr>
                <w:rFonts w:ascii="Times New Roman" w:hAnsi="Times New Roman"/>
              </w:rPr>
            </w:pPr>
            <w:r w:rsidRPr="00423657">
              <w:rPr>
                <w:rFonts w:ascii="Times New Roman" w:hAnsi="Times New Roman"/>
              </w:rPr>
              <w:t>7</w:t>
            </w:r>
          </w:p>
        </w:tc>
        <w:tc>
          <w:tcPr>
            <w:tcW w:w="1843" w:type="dxa"/>
            <w:vAlign w:val="center"/>
          </w:tcPr>
          <w:p w:rsidR="00751475" w:rsidRPr="00423657" w:rsidRDefault="00B7266C" w:rsidP="00B7266C">
            <w:pPr>
              <w:jc w:val="center"/>
              <w:rPr>
                <w:rFonts w:ascii="Times New Roman" w:hAnsi="Times New Roman"/>
              </w:rPr>
            </w:pPr>
            <w:r w:rsidRPr="00423657">
              <w:rPr>
                <w:rFonts w:ascii="Times New Roman" w:hAnsi="Times New Roman"/>
              </w:rPr>
              <w:t>25</w:t>
            </w:r>
          </w:p>
        </w:tc>
      </w:tr>
      <w:tr w:rsidR="00751475" w:rsidRPr="00423657" w:rsidTr="006966B4">
        <w:tc>
          <w:tcPr>
            <w:tcW w:w="4194" w:type="dxa"/>
            <w:vAlign w:val="center"/>
          </w:tcPr>
          <w:p w:rsidR="00751475" w:rsidRPr="00423657" w:rsidRDefault="00657792" w:rsidP="00657792">
            <w:pPr>
              <w:rPr>
                <w:rFonts w:ascii="Times New Roman" w:hAnsi="Times New Roman"/>
              </w:rPr>
            </w:pPr>
            <w:r w:rsidRPr="00423657">
              <w:rPr>
                <w:rFonts w:ascii="Times New Roman" w:hAnsi="Times New Roman"/>
              </w:rPr>
              <w:t>Matrahın</w:t>
            </w:r>
            <w:r w:rsidR="00751475" w:rsidRPr="00423657">
              <w:rPr>
                <w:rFonts w:ascii="Times New Roman" w:hAnsi="Times New Roman"/>
              </w:rPr>
              <w:t xml:space="preserve"> 3.</w:t>
            </w:r>
            <w:r w:rsidRPr="00423657">
              <w:rPr>
                <w:rFonts w:ascii="Times New Roman" w:hAnsi="Times New Roman"/>
              </w:rPr>
              <w:t>82</w:t>
            </w:r>
            <w:r w:rsidR="00751475" w:rsidRPr="00423657">
              <w:rPr>
                <w:rFonts w:ascii="Times New Roman" w:hAnsi="Times New Roman"/>
              </w:rPr>
              <w:t xml:space="preserve">0.000 TL’yi aşan </w:t>
            </w:r>
            <w:r w:rsidRPr="00423657">
              <w:rPr>
                <w:rFonts w:ascii="Times New Roman" w:hAnsi="Times New Roman"/>
              </w:rPr>
              <w:t>bölümü</w:t>
            </w:r>
            <w:r w:rsidR="00751475" w:rsidRPr="00423657">
              <w:rPr>
                <w:rFonts w:ascii="Times New Roman" w:hAnsi="Times New Roman"/>
              </w:rPr>
              <w:t xml:space="preserve"> için</w:t>
            </w:r>
          </w:p>
        </w:tc>
        <w:tc>
          <w:tcPr>
            <w:tcW w:w="2268" w:type="dxa"/>
            <w:vAlign w:val="center"/>
          </w:tcPr>
          <w:p w:rsidR="00751475" w:rsidRPr="00423657" w:rsidRDefault="00B7266C" w:rsidP="00B7266C">
            <w:pPr>
              <w:jc w:val="center"/>
              <w:rPr>
                <w:rFonts w:ascii="Times New Roman" w:hAnsi="Times New Roman"/>
              </w:rPr>
            </w:pPr>
            <w:r w:rsidRPr="00423657">
              <w:rPr>
                <w:rFonts w:ascii="Times New Roman" w:hAnsi="Times New Roman"/>
              </w:rPr>
              <w:t>10</w:t>
            </w:r>
          </w:p>
        </w:tc>
        <w:tc>
          <w:tcPr>
            <w:tcW w:w="1843" w:type="dxa"/>
            <w:vAlign w:val="center"/>
          </w:tcPr>
          <w:p w:rsidR="00751475" w:rsidRPr="00423657" w:rsidRDefault="00B7266C" w:rsidP="00B7266C">
            <w:pPr>
              <w:jc w:val="center"/>
              <w:rPr>
                <w:rFonts w:ascii="Times New Roman" w:hAnsi="Times New Roman"/>
              </w:rPr>
            </w:pPr>
            <w:r w:rsidRPr="00423657">
              <w:rPr>
                <w:rFonts w:ascii="Times New Roman" w:hAnsi="Times New Roman"/>
              </w:rPr>
              <w:t>30</w:t>
            </w:r>
          </w:p>
        </w:tc>
      </w:tr>
    </w:tbl>
    <w:p w:rsidR="006966B4" w:rsidRDefault="006966B4" w:rsidP="006966B4">
      <w:pPr>
        <w:pStyle w:val="ListParagraph"/>
        <w:jc w:val="both"/>
        <w:rPr>
          <w:rFonts w:ascii="Times New Roman" w:hAnsi="Times New Roman"/>
        </w:rPr>
      </w:pPr>
    </w:p>
    <w:p w:rsidR="00851FEA" w:rsidRPr="00423657" w:rsidRDefault="00B7266C" w:rsidP="00851FEA">
      <w:pPr>
        <w:pStyle w:val="ListParagraph"/>
        <w:numPr>
          <w:ilvl w:val="0"/>
          <w:numId w:val="5"/>
        </w:numPr>
        <w:jc w:val="both"/>
        <w:rPr>
          <w:rFonts w:ascii="Times New Roman" w:hAnsi="Times New Roman"/>
        </w:rPr>
      </w:pPr>
      <w:r w:rsidRPr="00423657">
        <w:rPr>
          <w:rFonts w:ascii="Times New Roman" w:hAnsi="Times New Roman"/>
        </w:rPr>
        <w:t>İstisna tutarları;</w:t>
      </w:r>
    </w:p>
    <w:p w:rsidR="00B7266C" w:rsidRPr="00423657" w:rsidRDefault="00B7266C" w:rsidP="00851FEA">
      <w:pPr>
        <w:pStyle w:val="ListParagraph"/>
        <w:numPr>
          <w:ilvl w:val="1"/>
          <w:numId w:val="5"/>
        </w:numPr>
        <w:jc w:val="both"/>
        <w:rPr>
          <w:rFonts w:ascii="Times New Roman" w:hAnsi="Times New Roman"/>
        </w:rPr>
      </w:pPr>
      <w:r w:rsidRPr="00423657">
        <w:rPr>
          <w:rFonts w:ascii="Times New Roman" w:hAnsi="Times New Roman"/>
        </w:rPr>
        <w:t>Eş ve çocuktan her bir</w:t>
      </w:r>
      <w:r w:rsidR="00B4023C" w:rsidRPr="00423657">
        <w:rPr>
          <w:rFonts w:ascii="Times New Roman" w:hAnsi="Times New Roman"/>
        </w:rPr>
        <w:t>ine düşen mirasın 1</w:t>
      </w:r>
      <w:r w:rsidR="000B15B5">
        <w:rPr>
          <w:rFonts w:ascii="Times New Roman" w:hAnsi="Times New Roman"/>
        </w:rPr>
        <w:t>76.600</w:t>
      </w:r>
      <w:r w:rsidR="00B4023C" w:rsidRPr="00423657">
        <w:rPr>
          <w:rFonts w:ascii="Times New Roman" w:hAnsi="Times New Roman"/>
        </w:rPr>
        <w:t xml:space="preserve"> TL'si</w:t>
      </w:r>
      <w:r w:rsidR="000F4836" w:rsidRPr="00423657">
        <w:rPr>
          <w:rFonts w:ascii="Times New Roman" w:hAnsi="Times New Roman"/>
        </w:rPr>
        <w:t>;</w:t>
      </w:r>
      <w:r w:rsidR="00B4023C" w:rsidRPr="00423657">
        <w:rPr>
          <w:rFonts w:ascii="Times New Roman" w:hAnsi="Times New Roman"/>
        </w:rPr>
        <w:t xml:space="preserve"> </w:t>
      </w:r>
      <w:r w:rsidRPr="00423657">
        <w:rPr>
          <w:rFonts w:ascii="Times New Roman" w:hAnsi="Times New Roman"/>
        </w:rPr>
        <w:t>çocuk bulunmaması halinde eşe isabet eden miras</w:t>
      </w:r>
      <w:r w:rsidR="00657792" w:rsidRPr="00423657">
        <w:rPr>
          <w:rFonts w:ascii="Times New Roman" w:hAnsi="Times New Roman"/>
        </w:rPr>
        <w:t xml:space="preserve"> hissesinin</w:t>
      </w:r>
      <w:r w:rsidRPr="00423657">
        <w:rPr>
          <w:rFonts w:ascii="Times New Roman" w:hAnsi="Times New Roman"/>
        </w:rPr>
        <w:t xml:space="preserve"> </w:t>
      </w:r>
      <w:r w:rsidR="002448B6" w:rsidRPr="00423657">
        <w:rPr>
          <w:rFonts w:ascii="Times New Roman" w:hAnsi="Times New Roman"/>
        </w:rPr>
        <w:t>3</w:t>
      </w:r>
      <w:r w:rsidR="000B15B5">
        <w:rPr>
          <w:rFonts w:ascii="Times New Roman" w:hAnsi="Times New Roman"/>
        </w:rPr>
        <w:t>53.417</w:t>
      </w:r>
      <w:r w:rsidRPr="00423657">
        <w:rPr>
          <w:rFonts w:ascii="Times New Roman" w:hAnsi="Times New Roman"/>
        </w:rPr>
        <w:t xml:space="preserve"> TL'si,</w:t>
      </w:r>
    </w:p>
    <w:p w:rsidR="00B7266C" w:rsidRPr="00423657" w:rsidRDefault="00B7266C" w:rsidP="00851FEA">
      <w:pPr>
        <w:pStyle w:val="ListParagraph"/>
        <w:numPr>
          <w:ilvl w:val="1"/>
          <w:numId w:val="5"/>
        </w:numPr>
        <w:jc w:val="both"/>
        <w:rPr>
          <w:rFonts w:ascii="Times New Roman" w:hAnsi="Times New Roman"/>
        </w:rPr>
      </w:pPr>
      <w:r w:rsidRPr="00423657">
        <w:rPr>
          <w:rFonts w:ascii="Times New Roman" w:hAnsi="Times New Roman"/>
        </w:rPr>
        <w:t xml:space="preserve">İvazsız </w:t>
      </w:r>
      <w:r w:rsidR="00657792" w:rsidRPr="00423657">
        <w:rPr>
          <w:rFonts w:ascii="Times New Roman" w:hAnsi="Times New Roman"/>
        </w:rPr>
        <w:t xml:space="preserve">suretle meydana gelen </w:t>
      </w:r>
      <w:r w:rsidR="000B15B5">
        <w:rPr>
          <w:rFonts w:ascii="Times New Roman" w:hAnsi="Times New Roman"/>
        </w:rPr>
        <w:t>intikallerde 4.068</w:t>
      </w:r>
      <w:r w:rsidRPr="00423657">
        <w:rPr>
          <w:rFonts w:ascii="Times New Roman" w:hAnsi="Times New Roman"/>
        </w:rPr>
        <w:t xml:space="preserve"> TL</w:t>
      </w:r>
      <w:r w:rsidR="000F4836" w:rsidRPr="00423657">
        <w:rPr>
          <w:rFonts w:ascii="Times New Roman" w:hAnsi="Times New Roman"/>
        </w:rPr>
        <w:t>,</w:t>
      </w:r>
    </w:p>
    <w:p w:rsidR="000F4836" w:rsidRPr="00423657" w:rsidRDefault="000F4836" w:rsidP="00851FEA">
      <w:pPr>
        <w:pStyle w:val="ListParagraph"/>
        <w:numPr>
          <w:ilvl w:val="1"/>
          <w:numId w:val="5"/>
        </w:numPr>
        <w:jc w:val="both"/>
        <w:rPr>
          <w:rFonts w:ascii="Times New Roman" w:hAnsi="Times New Roman"/>
        </w:rPr>
      </w:pPr>
      <w:r w:rsidRPr="00423657">
        <w:rPr>
          <w:rFonts w:ascii="Times New Roman" w:hAnsi="Times New Roman"/>
        </w:rPr>
        <w:t>Şans oyunların</w:t>
      </w:r>
      <w:r w:rsidR="000B15B5">
        <w:rPr>
          <w:rFonts w:ascii="Times New Roman" w:hAnsi="Times New Roman"/>
        </w:rPr>
        <w:t>da kazanılan ikramiyelerde 4.068</w:t>
      </w:r>
      <w:r w:rsidRPr="00423657">
        <w:rPr>
          <w:rFonts w:ascii="Times New Roman" w:hAnsi="Times New Roman"/>
        </w:rPr>
        <w:t xml:space="preserve"> TL,</w:t>
      </w:r>
    </w:p>
    <w:p w:rsidR="000F4836" w:rsidRPr="00423657" w:rsidRDefault="000F4836" w:rsidP="000F4836">
      <w:pPr>
        <w:ind w:firstLine="708"/>
        <w:jc w:val="both"/>
        <w:rPr>
          <w:rFonts w:ascii="Times New Roman" w:hAnsi="Times New Roman"/>
        </w:rPr>
      </w:pPr>
      <w:r w:rsidRPr="00423657">
        <w:rPr>
          <w:rFonts w:ascii="Times New Roman" w:hAnsi="Times New Roman"/>
        </w:rPr>
        <w:t>olarak dikkate alınacaktır.</w:t>
      </w:r>
    </w:p>
    <w:p w:rsidR="00851FEA" w:rsidRPr="00423657" w:rsidRDefault="00851FEA" w:rsidP="00851FEA">
      <w:pPr>
        <w:jc w:val="both"/>
        <w:rPr>
          <w:rFonts w:ascii="Times New Roman" w:hAnsi="Times New Roman"/>
        </w:rPr>
      </w:pPr>
    </w:p>
    <w:p w:rsidR="006214DD" w:rsidRPr="00423657" w:rsidRDefault="006214DD" w:rsidP="006214DD">
      <w:pPr>
        <w:rPr>
          <w:rFonts w:ascii="Times New Roman" w:hAnsi="Times New Roman"/>
          <w:b/>
          <w:i/>
        </w:rPr>
      </w:pPr>
      <w:r w:rsidRPr="00423657">
        <w:rPr>
          <w:rFonts w:ascii="Times New Roman" w:hAnsi="Times New Roman"/>
          <w:b/>
          <w:i/>
        </w:rPr>
        <w:t>Motorlu Taşıtlar Vergisi:</w:t>
      </w:r>
    </w:p>
    <w:p w:rsidR="006214DD" w:rsidRPr="00423657" w:rsidRDefault="006214DD" w:rsidP="006214DD">
      <w:pPr>
        <w:rPr>
          <w:rFonts w:ascii="Times New Roman" w:hAnsi="Times New Roman"/>
          <w:i/>
        </w:rPr>
      </w:pPr>
    </w:p>
    <w:p w:rsidR="006214DD" w:rsidRPr="00423657" w:rsidRDefault="006214DD" w:rsidP="006214DD">
      <w:pPr>
        <w:pStyle w:val="ListParagraph"/>
        <w:numPr>
          <w:ilvl w:val="0"/>
          <w:numId w:val="5"/>
        </w:numPr>
        <w:rPr>
          <w:rFonts w:ascii="Times New Roman" w:hAnsi="Times New Roman"/>
        </w:rPr>
      </w:pPr>
      <w:r w:rsidRPr="00423657">
        <w:rPr>
          <w:rFonts w:ascii="Times New Roman" w:hAnsi="Times New Roman"/>
        </w:rPr>
        <w:t>Motorlu Taşıtlar Vergisi tarifesi yeniden değerleme oranı ile artırılmıştır.</w:t>
      </w:r>
    </w:p>
    <w:p w:rsidR="002448B6" w:rsidRPr="000B15B5" w:rsidRDefault="00657792" w:rsidP="00657792">
      <w:pPr>
        <w:pStyle w:val="ListParagraph"/>
        <w:numPr>
          <w:ilvl w:val="0"/>
          <w:numId w:val="5"/>
        </w:numPr>
        <w:rPr>
          <w:rStyle w:val="Hyperlink"/>
          <w:rFonts w:ascii="Times New Roman" w:hAnsi="Times New Roman"/>
        </w:rPr>
      </w:pPr>
      <w:r w:rsidRPr="00423657">
        <w:rPr>
          <w:rFonts w:ascii="Times New Roman" w:hAnsi="Times New Roman"/>
        </w:rPr>
        <w:lastRenderedPageBreak/>
        <w:t xml:space="preserve">Yeni oranlara ulaşmak için lütfen </w:t>
      </w:r>
      <w:r w:rsidR="000B15B5">
        <w:rPr>
          <w:rFonts w:ascii="Times New Roman" w:hAnsi="Times New Roman"/>
        </w:rPr>
        <w:fldChar w:fldCharType="begin"/>
      </w:r>
      <w:r w:rsidR="000B15B5">
        <w:rPr>
          <w:rFonts w:ascii="Times New Roman" w:hAnsi="Times New Roman"/>
        </w:rPr>
        <w:instrText xml:space="preserve"> HYPERLINK "http://www.resmigazete.gov.tr/eskiler/2016/12/20161227-8.htm" </w:instrText>
      </w:r>
      <w:r w:rsidR="000B15B5">
        <w:rPr>
          <w:rFonts w:ascii="Times New Roman" w:hAnsi="Times New Roman"/>
        </w:rPr>
        <w:fldChar w:fldCharType="separate"/>
      </w:r>
      <w:r w:rsidRPr="000B15B5">
        <w:rPr>
          <w:rStyle w:val="Hyperlink"/>
          <w:rFonts w:ascii="Times New Roman" w:hAnsi="Times New Roman"/>
        </w:rPr>
        <w:t>tıklayınız.</w:t>
      </w:r>
    </w:p>
    <w:p w:rsidR="00740B70" w:rsidRPr="00423657" w:rsidRDefault="000B15B5" w:rsidP="00ED2884">
      <w:pPr>
        <w:ind w:left="360"/>
        <w:rPr>
          <w:rFonts w:ascii="Times New Roman" w:hAnsi="Times New Roman"/>
        </w:rPr>
      </w:pPr>
      <w:r>
        <w:rPr>
          <w:rFonts w:ascii="Times New Roman" w:hAnsi="Times New Roman"/>
        </w:rPr>
        <w:fldChar w:fldCharType="end"/>
      </w:r>
    </w:p>
    <w:p w:rsidR="002779A4" w:rsidRPr="00423657" w:rsidRDefault="00740B70" w:rsidP="00740B70">
      <w:pPr>
        <w:jc w:val="both"/>
        <w:rPr>
          <w:rFonts w:ascii="Times New Roman" w:hAnsi="Times New Roman"/>
        </w:rPr>
      </w:pPr>
      <w:r w:rsidRPr="00423657">
        <w:rPr>
          <w:rFonts w:ascii="Times New Roman" w:hAnsi="Times New Roman"/>
        </w:rPr>
        <w:t>Saygılarımızla,</w:t>
      </w:r>
    </w:p>
    <w:sectPr w:rsidR="002779A4" w:rsidRPr="004236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1878"/>
    <w:multiLevelType w:val="hybridMultilevel"/>
    <w:tmpl w:val="C6BCAC0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2206084B"/>
    <w:multiLevelType w:val="hybridMultilevel"/>
    <w:tmpl w:val="C31482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A637FB"/>
    <w:multiLevelType w:val="hybridMultilevel"/>
    <w:tmpl w:val="A768AD74"/>
    <w:lvl w:ilvl="0" w:tplc="4D787060">
      <w:start w:val="1"/>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BC688A"/>
    <w:multiLevelType w:val="hybridMultilevel"/>
    <w:tmpl w:val="B7FE2A68"/>
    <w:lvl w:ilvl="0" w:tplc="1CD6A838">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68011C"/>
    <w:multiLevelType w:val="hybridMultilevel"/>
    <w:tmpl w:val="0EF4E422"/>
    <w:lvl w:ilvl="0" w:tplc="B0B4623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D76ACE"/>
    <w:multiLevelType w:val="hybridMultilevel"/>
    <w:tmpl w:val="69820A46"/>
    <w:lvl w:ilvl="0" w:tplc="9A56753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BD76332"/>
    <w:multiLevelType w:val="hybridMultilevel"/>
    <w:tmpl w:val="684A7C54"/>
    <w:lvl w:ilvl="0" w:tplc="9D1E0906">
      <w:start w:val="1"/>
      <w:numFmt w:val="bullet"/>
      <w:lvlText w:val="-"/>
      <w:lvlJc w:val="left"/>
      <w:pPr>
        <w:ind w:left="720" w:hanging="360"/>
      </w:pPr>
      <w:rPr>
        <w:rFonts w:ascii="Calibri" w:eastAsia="ヒラギノ明朝 Pro W3"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0D91036"/>
    <w:multiLevelType w:val="hybridMultilevel"/>
    <w:tmpl w:val="516C0D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BEE8802C">
      <w:start w:val="2013"/>
      <w:numFmt w:val="bullet"/>
      <w:lvlText w:val="-"/>
      <w:lvlJc w:val="left"/>
      <w:pPr>
        <w:ind w:left="2880" w:hanging="360"/>
      </w:pPr>
      <w:rPr>
        <w:rFonts w:ascii="Arial" w:eastAsia="Times New Roman" w:hAnsi="Arial" w:cs="Aria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30"/>
    <w:rsid w:val="00012CE3"/>
    <w:rsid w:val="00013269"/>
    <w:rsid w:val="00022DDB"/>
    <w:rsid w:val="00030049"/>
    <w:rsid w:val="000420E7"/>
    <w:rsid w:val="00045DAE"/>
    <w:rsid w:val="00074450"/>
    <w:rsid w:val="00094C24"/>
    <w:rsid w:val="000B15B5"/>
    <w:rsid w:val="000D2813"/>
    <w:rsid w:val="000F4836"/>
    <w:rsid w:val="0014667B"/>
    <w:rsid w:val="001A0B00"/>
    <w:rsid w:val="001A0E49"/>
    <w:rsid w:val="002114DC"/>
    <w:rsid w:val="002448B6"/>
    <w:rsid w:val="002724C7"/>
    <w:rsid w:val="002779A4"/>
    <w:rsid w:val="002906CF"/>
    <w:rsid w:val="002D4D0A"/>
    <w:rsid w:val="0033595F"/>
    <w:rsid w:val="003534E7"/>
    <w:rsid w:val="0036779A"/>
    <w:rsid w:val="003E256B"/>
    <w:rsid w:val="003F25E1"/>
    <w:rsid w:val="0040121D"/>
    <w:rsid w:val="004061AB"/>
    <w:rsid w:val="00423657"/>
    <w:rsid w:val="00484ACA"/>
    <w:rsid w:val="00497A41"/>
    <w:rsid w:val="004A4EAB"/>
    <w:rsid w:val="004C1075"/>
    <w:rsid w:val="00552340"/>
    <w:rsid w:val="005D4274"/>
    <w:rsid w:val="006214DD"/>
    <w:rsid w:val="00626FAD"/>
    <w:rsid w:val="00627AD6"/>
    <w:rsid w:val="00637EDC"/>
    <w:rsid w:val="00657792"/>
    <w:rsid w:val="00683A83"/>
    <w:rsid w:val="006878FD"/>
    <w:rsid w:val="006966B4"/>
    <w:rsid w:val="006C76D8"/>
    <w:rsid w:val="00703DB6"/>
    <w:rsid w:val="007320D7"/>
    <w:rsid w:val="00740B70"/>
    <w:rsid w:val="00751475"/>
    <w:rsid w:val="007722B9"/>
    <w:rsid w:val="007D1390"/>
    <w:rsid w:val="007D4441"/>
    <w:rsid w:val="008127C8"/>
    <w:rsid w:val="008516B7"/>
    <w:rsid w:val="00851FEA"/>
    <w:rsid w:val="00883412"/>
    <w:rsid w:val="008A17B2"/>
    <w:rsid w:val="008D798C"/>
    <w:rsid w:val="00935B2E"/>
    <w:rsid w:val="00992398"/>
    <w:rsid w:val="009A3C76"/>
    <w:rsid w:val="009B0D00"/>
    <w:rsid w:val="009B430F"/>
    <w:rsid w:val="009B4E93"/>
    <w:rsid w:val="009F120E"/>
    <w:rsid w:val="009F147B"/>
    <w:rsid w:val="009F55DF"/>
    <w:rsid w:val="00A153FF"/>
    <w:rsid w:val="00A44ED3"/>
    <w:rsid w:val="00A52739"/>
    <w:rsid w:val="00A827FA"/>
    <w:rsid w:val="00B337FB"/>
    <w:rsid w:val="00B4023C"/>
    <w:rsid w:val="00B7266C"/>
    <w:rsid w:val="00B74F29"/>
    <w:rsid w:val="00BF5EB3"/>
    <w:rsid w:val="00C16AB1"/>
    <w:rsid w:val="00C20FB2"/>
    <w:rsid w:val="00C23815"/>
    <w:rsid w:val="00C527FB"/>
    <w:rsid w:val="00CB7290"/>
    <w:rsid w:val="00CB7CE0"/>
    <w:rsid w:val="00CF2873"/>
    <w:rsid w:val="00D61D9A"/>
    <w:rsid w:val="00D6554D"/>
    <w:rsid w:val="00DD2783"/>
    <w:rsid w:val="00DE18BA"/>
    <w:rsid w:val="00DF303D"/>
    <w:rsid w:val="00DF7186"/>
    <w:rsid w:val="00E154DA"/>
    <w:rsid w:val="00E224CB"/>
    <w:rsid w:val="00E41711"/>
    <w:rsid w:val="00E83923"/>
    <w:rsid w:val="00E92627"/>
    <w:rsid w:val="00ED2884"/>
    <w:rsid w:val="00ED4472"/>
    <w:rsid w:val="00ED77CB"/>
    <w:rsid w:val="00F52A10"/>
    <w:rsid w:val="00FC5A30"/>
    <w:rsid w:val="00FE3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D7AF"/>
  <w15:docId w15:val="{FE85F53C-4C3C-4259-9BE0-B35E58B1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C5A3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5A30"/>
  </w:style>
  <w:style w:type="paragraph" w:customStyle="1" w:styleId="3-NormalYaz">
    <w:name w:val="3-Normal Yazı"/>
    <w:rsid w:val="002114DC"/>
    <w:pPr>
      <w:tabs>
        <w:tab w:val="left" w:pos="566"/>
      </w:tabs>
      <w:spacing w:after="0" w:line="240" w:lineRule="auto"/>
      <w:jc w:val="both"/>
    </w:pPr>
    <w:rPr>
      <w:rFonts w:ascii="Times New Roman" w:eastAsia="ヒラギノ明朝 Pro W3" w:hAnsi="Times" w:cs="Times New Roman"/>
      <w:sz w:val="19"/>
      <w:szCs w:val="20"/>
    </w:rPr>
  </w:style>
  <w:style w:type="character" w:styleId="Hyperlink">
    <w:name w:val="Hyperlink"/>
    <w:basedOn w:val="DefaultParagraphFont"/>
    <w:uiPriority w:val="99"/>
    <w:unhideWhenUsed/>
    <w:rsid w:val="002114DC"/>
    <w:rPr>
      <w:color w:val="0000FF"/>
      <w:u w:val="single"/>
    </w:rPr>
  </w:style>
  <w:style w:type="paragraph" w:customStyle="1" w:styleId="2-OrtaBaslk">
    <w:name w:val="2-Orta Baslık"/>
    <w:rsid w:val="00074450"/>
    <w:pPr>
      <w:spacing w:after="0" w:line="240" w:lineRule="auto"/>
      <w:jc w:val="center"/>
    </w:pPr>
    <w:rPr>
      <w:rFonts w:ascii="Times New Roman" w:eastAsia="ヒラギノ明朝 Pro W3" w:hAnsi="Times" w:cs="Times New Roman"/>
      <w:b/>
      <w:sz w:val="19"/>
      <w:szCs w:val="20"/>
    </w:rPr>
  </w:style>
  <w:style w:type="paragraph" w:styleId="ListParagraph">
    <w:name w:val="List Paragraph"/>
    <w:basedOn w:val="Normal"/>
    <w:uiPriority w:val="34"/>
    <w:qFormat/>
    <w:rsid w:val="00074450"/>
    <w:pPr>
      <w:ind w:left="720"/>
      <w:contextualSpacing/>
    </w:pPr>
  </w:style>
  <w:style w:type="paragraph" w:styleId="NormalWeb">
    <w:name w:val="Normal (Web)"/>
    <w:basedOn w:val="Normal"/>
    <w:uiPriority w:val="99"/>
    <w:unhideWhenUsed/>
    <w:rsid w:val="00F52A10"/>
    <w:pPr>
      <w:spacing w:before="195" w:line="225" w:lineRule="atLeast"/>
    </w:pPr>
    <w:rPr>
      <w:rFonts w:ascii="Arial" w:eastAsia="Times New Roman" w:hAnsi="Arial" w:cs="Arial"/>
      <w:sz w:val="20"/>
      <w:szCs w:val="20"/>
      <w:lang w:eastAsia="tr-TR"/>
    </w:rPr>
  </w:style>
  <w:style w:type="character" w:styleId="FollowedHyperlink">
    <w:name w:val="FollowedHyperlink"/>
    <w:basedOn w:val="DefaultParagraphFont"/>
    <w:uiPriority w:val="99"/>
    <w:semiHidden/>
    <w:unhideWhenUsed/>
    <w:rsid w:val="00DD2783"/>
    <w:rPr>
      <w:color w:val="800080" w:themeColor="followedHyperlink"/>
      <w:u w:val="single"/>
    </w:rPr>
  </w:style>
  <w:style w:type="table" w:styleId="TableGrid">
    <w:name w:val="Table Grid"/>
    <w:basedOn w:val="TableNormal"/>
    <w:uiPriority w:val="59"/>
    <w:rsid w:val="00DD2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45DAE"/>
    <w:rPr>
      <w:b/>
      <w:bCs/>
    </w:rPr>
  </w:style>
  <w:style w:type="table" w:styleId="PlainTable2">
    <w:name w:val="Plain Table 2"/>
    <w:basedOn w:val="TableNormal"/>
    <w:uiPriority w:val="42"/>
    <w:rsid w:val="00045D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898094">
      <w:bodyDiv w:val="1"/>
      <w:marLeft w:val="0"/>
      <w:marRight w:val="0"/>
      <w:marTop w:val="0"/>
      <w:marBottom w:val="0"/>
      <w:divBdr>
        <w:top w:val="none" w:sz="0" w:space="0" w:color="auto"/>
        <w:left w:val="none" w:sz="0" w:space="0" w:color="auto"/>
        <w:bottom w:val="none" w:sz="0" w:space="0" w:color="auto"/>
        <w:right w:val="none" w:sz="0" w:space="0" w:color="auto"/>
      </w:divBdr>
    </w:div>
    <w:div w:id="969282161">
      <w:bodyDiv w:val="1"/>
      <w:marLeft w:val="0"/>
      <w:marRight w:val="0"/>
      <w:marTop w:val="0"/>
      <w:marBottom w:val="0"/>
      <w:divBdr>
        <w:top w:val="none" w:sz="0" w:space="0" w:color="auto"/>
        <w:left w:val="none" w:sz="0" w:space="0" w:color="auto"/>
        <w:bottom w:val="none" w:sz="0" w:space="0" w:color="auto"/>
        <w:right w:val="none" w:sz="0" w:space="0" w:color="auto"/>
      </w:divBdr>
      <w:divsChild>
        <w:div w:id="639650953">
          <w:marLeft w:val="0"/>
          <w:marRight w:val="0"/>
          <w:marTop w:val="0"/>
          <w:marBottom w:val="0"/>
          <w:divBdr>
            <w:top w:val="none" w:sz="0" w:space="0" w:color="auto"/>
            <w:left w:val="none" w:sz="0" w:space="0" w:color="auto"/>
            <w:bottom w:val="none" w:sz="0" w:space="0" w:color="auto"/>
            <w:right w:val="none" w:sz="0" w:space="0" w:color="auto"/>
          </w:divBdr>
          <w:divsChild>
            <w:div w:id="1363096127">
              <w:marLeft w:val="0"/>
              <w:marRight w:val="0"/>
              <w:marTop w:val="0"/>
              <w:marBottom w:val="0"/>
              <w:divBdr>
                <w:top w:val="none" w:sz="0" w:space="0" w:color="auto"/>
                <w:left w:val="none" w:sz="0" w:space="0" w:color="auto"/>
                <w:bottom w:val="none" w:sz="0" w:space="0" w:color="auto"/>
                <w:right w:val="none" w:sz="0" w:space="0" w:color="auto"/>
              </w:divBdr>
              <w:divsChild>
                <w:div w:id="194391712">
                  <w:marLeft w:val="0"/>
                  <w:marRight w:val="0"/>
                  <w:marTop w:val="0"/>
                  <w:marBottom w:val="0"/>
                  <w:divBdr>
                    <w:top w:val="none" w:sz="0" w:space="0" w:color="auto"/>
                    <w:left w:val="none" w:sz="0" w:space="0" w:color="auto"/>
                    <w:bottom w:val="none" w:sz="0" w:space="0" w:color="auto"/>
                    <w:right w:val="none" w:sz="0" w:space="0" w:color="auto"/>
                  </w:divBdr>
                  <w:divsChild>
                    <w:div w:id="2146652796">
                      <w:marLeft w:val="0"/>
                      <w:marRight w:val="0"/>
                      <w:marTop w:val="0"/>
                      <w:marBottom w:val="0"/>
                      <w:divBdr>
                        <w:top w:val="none" w:sz="0" w:space="0" w:color="auto"/>
                        <w:left w:val="none" w:sz="0" w:space="0" w:color="auto"/>
                        <w:bottom w:val="none" w:sz="0" w:space="0" w:color="auto"/>
                        <w:right w:val="none" w:sz="0" w:space="0" w:color="auto"/>
                      </w:divBdr>
                      <w:divsChild>
                        <w:div w:id="2032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226745">
      <w:bodyDiv w:val="1"/>
      <w:marLeft w:val="0"/>
      <w:marRight w:val="0"/>
      <w:marTop w:val="0"/>
      <w:marBottom w:val="0"/>
      <w:divBdr>
        <w:top w:val="none" w:sz="0" w:space="0" w:color="auto"/>
        <w:left w:val="none" w:sz="0" w:space="0" w:color="auto"/>
        <w:bottom w:val="none" w:sz="0" w:space="0" w:color="auto"/>
        <w:right w:val="none" w:sz="0" w:space="0" w:color="auto"/>
      </w:divBdr>
    </w:div>
    <w:div w:id="1346708443">
      <w:bodyDiv w:val="1"/>
      <w:marLeft w:val="0"/>
      <w:marRight w:val="0"/>
      <w:marTop w:val="0"/>
      <w:marBottom w:val="0"/>
      <w:divBdr>
        <w:top w:val="none" w:sz="0" w:space="0" w:color="auto"/>
        <w:left w:val="none" w:sz="0" w:space="0" w:color="auto"/>
        <w:bottom w:val="none" w:sz="0" w:space="0" w:color="auto"/>
        <w:right w:val="none" w:sz="0" w:space="0" w:color="auto"/>
      </w:divBdr>
      <w:divsChild>
        <w:div w:id="1330061826">
          <w:marLeft w:val="0"/>
          <w:marRight w:val="0"/>
          <w:marTop w:val="0"/>
          <w:marBottom w:val="0"/>
          <w:divBdr>
            <w:top w:val="none" w:sz="0" w:space="0" w:color="auto"/>
            <w:left w:val="none" w:sz="0" w:space="0" w:color="auto"/>
            <w:bottom w:val="none" w:sz="0" w:space="0" w:color="auto"/>
            <w:right w:val="none" w:sz="0" w:space="0" w:color="auto"/>
          </w:divBdr>
          <w:divsChild>
            <w:div w:id="14684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72320">
      <w:bodyDiv w:val="1"/>
      <w:marLeft w:val="0"/>
      <w:marRight w:val="0"/>
      <w:marTop w:val="0"/>
      <w:marBottom w:val="0"/>
      <w:divBdr>
        <w:top w:val="none" w:sz="0" w:space="0" w:color="auto"/>
        <w:left w:val="none" w:sz="0" w:space="0" w:color="auto"/>
        <w:bottom w:val="none" w:sz="0" w:space="0" w:color="auto"/>
        <w:right w:val="none" w:sz="0" w:space="0" w:color="auto"/>
      </w:divBdr>
      <w:divsChild>
        <w:div w:id="449402281">
          <w:marLeft w:val="0"/>
          <w:marRight w:val="0"/>
          <w:marTop w:val="0"/>
          <w:marBottom w:val="0"/>
          <w:divBdr>
            <w:top w:val="none" w:sz="0" w:space="0" w:color="auto"/>
            <w:left w:val="none" w:sz="0" w:space="0" w:color="auto"/>
            <w:bottom w:val="none" w:sz="0" w:space="0" w:color="auto"/>
            <w:right w:val="none" w:sz="0" w:space="0" w:color="auto"/>
          </w:divBdr>
          <w:divsChild>
            <w:div w:id="20156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40139">
      <w:bodyDiv w:val="1"/>
      <w:marLeft w:val="0"/>
      <w:marRight w:val="0"/>
      <w:marTop w:val="0"/>
      <w:marBottom w:val="0"/>
      <w:divBdr>
        <w:top w:val="none" w:sz="0" w:space="0" w:color="auto"/>
        <w:left w:val="none" w:sz="0" w:space="0" w:color="auto"/>
        <w:bottom w:val="none" w:sz="0" w:space="0" w:color="auto"/>
        <w:right w:val="none" w:sz="0" w:space="0" w:color="auto"/>
      </w:divBdr>
      <w:divsChild>
        <w:div w:id="568999406">
          <w:marLeft w:val="0"/>
          <w:marRight w:val="0"/>
          <w:marTop w:val="0"/>
          <w:marBottom w:val="0"/>
          <w:divBdr>
            <w:top w:val="none" w:sz="0" w:space="0" w:color="auto"/>
            <w:left w:val="none" w:sz="0" w:space="0" w:color="auto"/>
            <w:bottom w:val="none" w:sz="0" w:space="0" w:color="auto"/>
            <w:right w:val="none" w:sz="0" w:space="0" w:color="auto"/>
          </w:divBdr>
          <w:divsChild>
            <w:div w:id="1263564302">
              <w:marLeft w:val="0"/>
              <w:marRight w:val="0"/>
              <w:marTop w:val="0"/>
              <w:marBottom w:val="0"/>
              <w:divBdr>
                <w:top w:val="none" w:sz="0" w:space="0" w:color="auto"/>
                <w:left w:val="none" w:sz="0" w:space="0" w:color="auto"/>
                <w:bottom w:val="none" w:sz="0" w:space="0" w:color="auto"/>
                <w:right w:val="none" w:sz="0" w:space="0" w:color="auto"/>
              </w:divBdr>
              <w:divsChild>
                <w:div w:id="324213180">
                  <w:marLeft w:val="0"/>
                  <w:marRight w:val="0"/>
                  <w:marTop w:val="0"/>
                  <w:marBottom w:val="0"/>
                  <w:divBdr>
                    <w:top w:val="none" w:sz="0" w:space="0" w:color="auto"/>
                    <w:left w:val="none" w:sz="0" w:space="0" w:color="auto"/>
                    <w:bottom w:val="none" w:sz="0" w:space="0" w:color="auto"/>
                    <w:right w:val="none" w:sz="0" w:space="0" w:color="auto"/>
                  </w:divBdr>
                  <w:divsChild>
                    <w:div w:id="1832482588">
                      <w:marLeft w:val="0"/>
                      <w:marRight w:val="0"/>
                      <w:marTop w:val="0"/>
                      <w:marBottom w:val="0"/>
                      <w:divBdr>
                        <w:top w:val="none" w:sz="0" w:space="0" w:color="auto"/>
                        <w:left w:val="none" w:sz="0" w:space="0" w:color="auto"/>
                        <w:bottom w:val="none" w:sz="0" w:space="0" w:color="auto"/>
                        <w:right w:val="none" w:sz="0" w:space="0" w:color="auto"/>
                      </w:divBdr>
                      <w:divsChild>
                        <w:div w:id="76288698">
                          <w:marLeft w:val="0"/>
                          <w:marRight w:val="0"/>
                          <w:marTop w:val="0"/>
                          <w:marBottom w:val="0"/>
                          <w:divBdr>
                            <w:top w:val="none" w:sz="0" w:space="0" w:color="auto"/>
                            <w:left w:val="none" w:sz="0" w:space="0" w:color="auto"/>
                            <w:bottom w:val="none" w:sz="0" w:space="0" w:color="auto"/>
                            <w:right w:val="none" w:sz="0" w:space="0" w:color="auto"/>
                          </w:divBdr>
                          <w:divsChild>
                            <w:div w:id="1730300871">
                              <w:marLeft w:val="0"/>
                              <w:marRight w:val="0"/>
                              <w:marTop w:val="0"/>
                              <w:marBottom w:val="0"/>
                              <w:divBdr>
                                <w:top w:val="none" w:sz="0" w:space="0" w:color="auto"/>
                                <w:left w:val="none" w:sz="0" w:space="0" w:color="auto"/>
                                <w:bottom w:val="none" w:sz="0" w:space="0" w:color="auto"/>
                                <w:right w:val="none" w:sz="0" w:space="0" w:color="auto"/>
                              </w:divBdr>
                            </w:div>
                            <w:div w:id="7525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6917">
      <w:bodyDiv w:val="1"/>
      <w:marLeft w:val="0"/>
      <w:marRight w:val="0"/>
      <w:marTop w:val="0"/>
      <w:marBottom w:val="0"/>
      <w:divBdr>
        <w:top w:val="none" w:sz="0" w:space="0" w:color="auto"/>
        <w:left w:val="none" w:sz="0" w:space="0" w:color="auto"/>
        <w:bottom w:val="none" w:sz="0" w:space="0" w:color="auto"/>
        <w:right w:val="none" w:sz="0" w:space="0" w:color="auto"/>
      </w:divBdr>
      <w:divsChild>
        <w:div w:id="1541163320">
          <w:marLeft w:val="0"/>
          <w:marRight w:val="0"/>
          <w:marTop w:val="0"/>
          <w:marBottom w:val="0"/>
          <w:divBdr>
            <w:top w:val="none" w:sz="0" w:space="0" w:color="auto"/>
            <w:left w:val="none" w:sz="0" w:space="0" w:color="auto"/>
            <w:bottom w:val="none" w:sz="0" w:space="0" w:color="auto"/>
            <w:right w:val="none" w:sz="0" w:space="0" w:color="auto"/>
          </w:divBdr>
          <w:divsChild>
            <w:div w:id="9679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resmigazete.gov.tr/eskiler/2016/12/20161227-1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FF9B1D1CEF553C44B24A0127C6C53EE9" ma:contentTypeVersion="1" ma:contentTypeDescription="Yeni belge oluşturun." ma:contentTypeScope="" ma:versionID="4126cf15e4621e2edfd1aa85a112dc7a">
  <xsd:schema xmlns:xsd="http://www.w3.org/2001/XMLSchema" xmlns:xs="http://www.w3.org/2001/XMLSchema" xmlns:p="http://schemas.microsoft.com/office/2006/metadata/properties" xmlns:ns3="88ba286b-2453-4789-bded-5ec0a76d147a" targetNamespace="http://schemas.microsoft.com/office/2006/metadata/properties" ma:root="true" ma:fieldsID="76d88a814690814c802a5345808d732d" ns3:_="">
    <xsd:import namespace="88ba286b-2453-4789-bded-5ec0a76d14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286b-2453-4789-bded-5ec0a76d147a"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0225D-8FB5-49A7-91E4-1CECEA950D53}">
  <ds:schemaRefs>
    <ds:schemaRef ds:uri="http://schemas.microsoft.com/sharepoint/v3/contenttype/forms"/>
  </ds:schemaRefs>
</ds:datastoreItem>
</file>

<file path=customXml/itemProps2.xml><?xml version="1.0" encoding="utf-8"?>
<ds:datastoreItem xmlns:ds="http://schemas.openxmlformats.org/officeDocument/2006/customXml" ds:itemID="{D04F4745-5423-4038-B126-E4F90B36B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a286b-2453-4789-bded-5ec0a76d1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3C598-5454-4D7C-B51D-E05162036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69E725-F762-4BA1-842B-7202CEBA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819</Words>
  <Characters>4674</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Eratalar</cp:lastModifiedBy>
  <cp:revision>4</cp:revision>
  <dcterms:created xsi:type="dcterms:W3CDTF">2016-12-27T07:57:00Z</dcterms:created>
  <dcterms:modified xsi:type="dcterms:W3CDTF">2016-12-27T08:04:00Z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0x010100FF9B1D1CEF553C44B24A0127C6C53EE9</vt:lpwstr>
  </property>
  <property fmtid="{D5CDD505-2E9C-101B-9397-08002B2CF9AE}" pid="3" name="IsMyDocuments">
    <vt:bool>true</vt:bool>
  </property>
</Properties>
</file>