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8E" w:rsidRDefault="0090078E" w:rsidP="0090078E">
      <w:pPr>
        <w:spacing w:line="240" w:lineRule="exact"/>
        <w:rPr>
          <w:rFonts w:ascii="Times New Roman" w:hAnsi="Times New Roman" w:cs="Times New Roman"/>
          <w:b/>
          <w:bCs/>
          <w:color w:val="548DD4"/>
          <w:sz w:val="26"/>
          <w:szCs w:val="26"/>
        </w:rPr>
      </w:pPr>
      <w:r>
        <w:rPr>
          <w:rFonts w:ascii="Times New Roman" w:hAnsi="Times New Roman" w:cs="Times New Roman"/>
          <w:b/>
          <w:bCs/>
          <w:color w:val="548DD4"/>
          <w:sz w:val="26"/>
          <w:szCs w:val="26"/>
        </w:rPr>
        <w:t>BES Otomatik Kat</w:t>
      </w:r>
      <w:r>
        <w:rPr>
          <w:rFonts w:ascii="Times" w:hAnsi="Times" w:cs="Times"/>
          <w:b/>
          <w:bCs/>
          <w:color w:val="548DD4"/>
          <w:sz w:val="26"/>
          <w:szCs w:val="26"/>
        </w:rPr>
        <w:t>ı</w:t>
      </w:r>
      <w:r>
        <w:rPr>
          <w:rFonts w:ascii="Times New Roman" w:hAnsi="Times New Roman" w:cs="Times New Roman"/>
          <w:b/>
          <w:bCs/>
          <w:color w:val="548DD4"/>
          <w:sz w:val="26"/>
          <w:szCs w:val="26"/>
        </w:rPr>
        <w:t>l</w:t>
      </w:r>
      <w:r>
        <w:rPr>
          <w:rFonts w:ascii="Times" w:hAnsi="Times" w:cs="Times"/>
          <w:b/>
          <w:bCs/>
          <w:color w:val="548DD4"/>
          <w:sz w:val="26"/>
          <w:szCs w:val="26"/>
        </w:rPr>
        <w:t>ı</w:t>
      </w:r>
      <w:r>
        <w:rPr>
          <w:rFonts w:ascii="Times New Roman" w:hAnsi="Times New Roman" w:cs="Times New Roman"/>
          <w:b/>
          <w:bCs/>
          <w:color w:val="548DD4"/>
          <w:sz w:val="26"/>
          <w:szCs w:val="26"/>
        </w:rPr>
        <w:t>m Sistemi</w:t>
      </w:r>
    </w:p>
    <w:p w:rsidR="0090078E" w:rsidRDefault="0090078E" w:rsidP="0090078E">
      <w:pPr>
        <w:jc w:val="both"/>
        <w:rPr>
          <w:rFonts w:ascii="Times New Roman" w:hAnsi="Times New Roman" w:cs="Times New Roman"/>
          <w:b/>
          <w:bCs/>
          <w:sz w:val="24"/>
          <w:szCs w:val="24"/>
        </w:rPr>
      </w:pPr>
    </w:p>
    <w:p w:rsidR="0090078E" w:rsidRDefault="0090078E" w:rsidP="0090078E">
      <w:pPr>
        <w:shd w:val="clear" w:color="auto" w:fill="FFFFFF"/>
        <w:jc w:val="both"/>
        <w:rPr>
          <w:rFonts w:ascii="Times New Roman" w:hAnsi="Times New Roman" w:cs="Times New Roman"/>
          <w:lang w:eastAsia="tr-TR"/>
        </w:rPr>
      </w:pPr>
      <w:r>
        <w:rPr>
          <w:rFonts w:ascii="Times New Roman" w:hAnsi="Times New Roman" w:cs="Times New Roman"/>
          <w:lang w:eastAsia="tr-TR"/>
        </w:rPr>
        <w:t>6740 sayılı  Bireysel Emeklilik Tasarruf ve Yatırım Sistemi Kanununda Değişiklik Yapılmasına Dair Kanun ve Başbakanlık 2016 yılı 26 sayılı Genelgesi ile “Bireysel Emeklilik Sistemi Otomatik Katılımı” sistemine ilişkin açıklamalar getirilmiş olup detayları aşağıda bulunmaktadır:</w:t>
      </w:r>
    </w:p>
    <w:p w:rsidR="0090078E" w:rsidRDefault="0090078E" w:rsidP="0090078E">
      <w:pPr>
        <w:numPr>
          <w:ilvl w:val="0"/>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İşyeri bazlı özel emeklilik planlarına yönelik bir uygulama olan otomatik katılım 01.01.2017 tarihinde yürürlüğe girecektir. </w:t>
      </w:r>
    </w:p>
    <w:p w:rsidR="0090078E" w:rsidRDefault="0090078E" w:rsidP="0090078E">
      <w:pPr>
        <w:numPr>
          <w:ilvl w:val="0"/>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Çalışanların işverenleri aracılığıyla otomatik olarak bir emeklilik planına dahil edilmesi ve ilgili kişilere istediklerinde plandan çıkma imkanı verilmesi esasına dayanmaktadır.</w:t>
      </w:r>
    </w:p>
    <w:p w:rsidR="0090078E" w:rsidRDefault="0090078E" w:rsidP="0090078E">
      <w:pPr>
        <w:numPr>
          <w:ilvl w:val="0"/>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Otomatik katılım sistemine aşağıdaki çalışan kişiler dahil olur</w:t>
      </w:r>
    </w:p>
    <w:p w:rsidR="0090078E" w:rsidRDefault="0090078E" w:rsidP="0090078E">
      <w:pPr>
        <w:numPr>
          <w:ilvl w:val="1"/>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Türk vatandaşı veya Türk Vatandaşlığı Kanunu çerçevesinde çıkma izni almak suretiyle Türk vatandaşlığını kaybeden kişiler, </w:t>
      </w:r>
    </w:p>
    <w:p w:rsidR="0090078E" w:rsidRDefault="0090078E" w:rsidP="0090078E">
      <w:pPr>
        <w:numPr>
          <w:ilvl w:val="1"/>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45 yaşını doldurmamış,</w:t>
      </w:r>
    </w:p>
    <w:p w:rsidR="0090078E" w:rsidRDefault="0090078E" w:rsidP="0090078E">
      <w:pPr>
        <w:numPr>
          <w:ilvl w:val="1"/>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SGK Kanununun 4 üncü maddesinin birinci fıkrasının (a) ve (c) bentlerine göre çalışanlar </w:t>
      </w:r>
    </w:p>
    <w:p w:rsidR="0090078E" w:rsidRDefault="0090078E" w:rsidP="0090078E">
      <w:pPr>
        <w:shd w:val="clear" w:color="auto" w:fill="FFFFFF"/>
        <w:jc w:val="both"/>
        <w:rPr>
          <w:rFonts w:ascii="Times New Roman" w:hAnsi="Times New Roman" w:cs="Times New Roman"/>
          <w:lang w:eastAsia="tr-TR"/>
        </w:rPr>
      </w:pPr>
    </w:p>
    <w:p w:rsidR="0090078E" w:rsidRDefault="0090078E" w:rsidP="0090078E">
      <w:pPr>
        <w:shd w:val="clear" w:color="auto" w:fill="FFFFFF"/>
        <w:jc w:val="both"/>
        <w:rPr>
          <w:rFonts w:ascii="Times New Roman" w:hAnsi="Times New Roman" w:cs="Times New Roman"/>
          <w:lang w:eastAsia="tr-TR"/>
        </w:rPr>
      </w:pPr>
      <w:r>
        <w:rPr>
          <w:rFonts w:ascii="Times New Roman" w:hAnsi="Times New Roman" w:cs="Times New Roman"/>
          <w:lang w:eastAsia="tr-TR"/>
        </w:rPr>
        <w:t xml:space="preserve">Söz konusu sisteme, çalışanlar </w:t>
      </w:r>
      <w:r>
        <w:rPr>
          <w:rFonts w:ascii="Times New Roman" w:hAnsi="Times New Roman" w:cs="Times New Roman"/>
          <w:b/>
          <w:bCs/>
          <w:lang w:eastAsia="tr-TR"/>
        </w:rPr>
        <w:t>prime esas kazançlarının % 3’ü</w:t>
      </w:r>
      <w:r>
        <w:rPr>
          <w:rFonts w:ascii="Times New Roman" w:hAnsi="Times New Roman" w:cs="Times New Roman"/>
          <w:lang w:eastAsia="tr-TR"/>
        </w:rPr>
        <w:t> kadar katkı payı yatıracaklardır (bu oranı iki katına kadar artırmaya, yüzde bire kadar azaltmaya veya katkı payına maktu limit getirmeye Bakanlar Kurulu yetkilidir), çalışan arzu etmesi durumunda plana belirlenenden daha yüksek bir katkı payı ödeyerek katılabilecektir. Katkı payı işveren tarafından en geç çalışanın ücretinin ödenmesini takip eden iş gününe kadar şirkete aktarılmalıdır, aksi takdirde işveren, çalışanın birikiminde oluşan parasal kaybından sorumlu olacaktır.</w:t>
      </w:r>
    </w:p>
    <w:p w:rsidR="0090078E" w:rsidRDefault="0090078E" w:rsidP="0090078E">
      <w:pPr>
        <w:shd w:val="clear" w:color="auto" w:fill="FFFFFF"/>
        <w:jc w:val="both"/>
        <w:rPr>
          <w:rFonts w:ascii="Times New Roman" w:hAnsi="Times New Roman" w:cs="Times New Roman"/>
          <w:b/>
          <w:bCs/>
          <w:i/>
          <w:iCs/>
          <w:u w:val="single"/>
          <w:lang w:eastAsia="tr-TR"/>
        </w:rPr>
      </w:pPr>
    </w:p>
    <w:p w:rsidR="0090078E" w:rsidRDefault="0090078E" w:rsidP="0090078E">
      <w:pPr>
        <w:shd w:val="clear" w:color="auto" w:fill="FFFFFF"/>
        <w:jc w:val="both"/>
        <w:rPr>
          <w:rFonts w:ascii="Times New Roman" w:hAnsi="Times New Roman" w:cs="Times New Roman"/>
          <w:b/>
          <w:bCs/>
          <w:i/>
          <w:iCs/>
          <w:u w:val="single"/>
          <w:lang w:eastAsia="tr-TR"/>
        </w:rPr>
      </w:pPr>
      <w:r>
        <w:rPr>
          <w:rFonts w:ascii="Times New Roman" w:hAnsi="Times New Roman" w:cs="Times New Roman"/>
          <w:b/>
          <w:bCs/>
          <w:i/>
          <w:iCs/>
          <w:u w:val="single"/>
          <w:lang w:eastAsia="tr-TR"/>
        </w:rPr>
        <w:t>Konuyla ilgili olarak diğer önemli noktalar aşağıdaki gibidir:</w:t>
      </w:r>
    </w:p>
    <w:p w:rsidR="0090078E" w:rsidRDefault="0090078E" w:rsidP="0090078E">
      <w:pPr>
        <w:shd w:val="clear" w:color="auto" w:fill="FFFFFF"/>
        <w:jc w:val="both"/>
        <w:rPr>
          <w:rFonts w:ascii="Times New Roman" w:hAnsi="Times New Roman" w:cs="Times New Roman"/>
          <w:lang w:eastAsia="tr-TR"/>
        </w:rPr>
      </w:pPr>
    </w:p>
    <w:p w:rsidR="0090078E" w:rsidRDefault="0090078E" w:rsidP="0090078E">
      <w:pPr>
        <w:numPr>
          <w:ilvl w:val="0"/>
          <w:numId w:val="2"/>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Bir defa kapsama alınan işyerinin çalışan sayısında, kapsama alınma tarihini müteakip gerçekleşen değişiklikler dikkate alınmaz.</w:t>
      </w:r>
    </w:p>
    <w:p w:rsidR="0090078E" w:rsidRDefault="0090078E" w:rsidP="0090078E">
      <w:pPr>
        <w:numPr>
          <w:ilvl w:val="0"/>
          <w:numId w:val="2"/>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Otomatik katılım kapsamında her bir işveren için vergi kimlik kartı bazındaki çalışan sayısı dikkate alınır.  </w:t>
      </w:r>
    </w:p>
    <w:p w:rsidR="0090078E" w:rsidRDefault="0090078E" w:rsidP="0090078E">
      <w:pPr>
        <w:numPr>
          <w:ilvl w:val="0"/>
          <w:numId w:val="2"/>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Çalışan sayısının belirlenmesinde, birden fazla işyeri olan işverenler için bütün işyerlerindeki çalışanların toplamı göz önünde bulundurulur.</w:t>
      </w:r>
    </w:p>
    <w:p w:rsidR="0090078E" w:rsidRDefault="0090078E" w:rsidP="0090078E">
      <w:pPr>
        <w:numPr>
          <w:ilvl w:val="0"/>
          <w:numId w:val="2"/>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İşverenin otomatik emeklilik sistemine geçişindeki izleyeceği süreç aşağıdaki şekilde olmalıdır;</w:t>
      </w:r>
    </w:p>
    <w:p w:rsidR="0090078E" w:rsidRDefault="0090078E" w:rsidP="0090078E">
      <w:pPr>
        <w:numPr>
          <w:ilvl w:val="1"/>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Emeklilik şirketinin seçimi: Her işveren çalışanları adına bir emeklilik şirketi ile sözleşme yapmakla yükümlüdür. </w:t>
      </w:r>
    </w:p>
    <w:p w:rsidR="0090078E" w:rsidRDefault="0090078E" w:rsidP="0090078E">
      <w:pPr>
        <w:numPr>
          <w:ilvl w:val="1"/>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Fonların seçimi: İşveren, sisteme giriş esnasında çalışandan faizli/faizsiz fon tercihini alır, tercihte bulunmayan çalışanları için söz konusu tercihi yapar. Çalışan fon tercihlerinin, işverenin şirket ile yapacağı sözleşme kapsamında doğrudan emeklilik şirketine bildirilmesi de kararlaştırılabilir.</w:t>
      </w:r>
    </w:p>
    <w:p w:rsidR="0090078E" w:rsidRDefault="0090078E" w:rsidP="0090078E">
      <w:pPr>
        <w:numPr>
          <w:ilvl w:val="1"/>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Katkı payının ödenmesi: İşveren, katkı payını çalışanın ücretinden kesip emeklilik şirketine aktarmakla yükümlüdür. </w:t>
      </w:r>
    </w:p>
    <w:p w:rsidR="0090078E" w:rsidRDefault="0090078E" w:rsidP="0090078E">
      <w:pPr>
        <w:numPr>
          <w:ilvl w:val="1"/>
          <w:numId w:val="1"/>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Devir imkanı: İşveren operasyonel gereklilikleri dikkate alarak, şirket seçimi ve katkı payının kesilmesi hariç diğer yükümlülüklerinin icrasını emeklilik şirketine bırakabilir.</w:t>
      </w:r>
    </w:p>
    <w:p w:rsidR="0090078E" w:rsidRDefault="0090078E" w:rsidP="0090078E">
      <w:pPr>
        <w:shd w:val="clear" w:color="auto" w:fill="FFFFFF"/>
        <w:jc w:val="both"/>
        <w:rPr>
          <w:rFonts w:ascii="Times New Roman" w:hAnsi="Times New Roman" w:cs="Times New Roman"/>
          <w:lang w:eastAsia="tr-TR"/>
        </w:rPr>
      </w:pPr>
    </w:p>
    <w:p w:rsidR="0090078E" w:rsidRDefault="0090078E" w:rsidP="0090078E">
      <w:pPr>
        <w:numPr>
          <w:ilvl w:val="0"/>
          <w:numId w:val="3"/>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Cezai Müeyyide Uygulaması: işverene; katkı payını zamanında şirkete aktarmaz veya geç/eksik aktarırsa, çalışanlarını sisteme dahil etmezse, çalışanın birikiminde oluşan parasal kaybından sorumludur ve her bir ihlal için Çalışma ve Sosyal Güvenlik Bakanlığı’nca 100 TL idari para cezası uygulanır. </w:t>
      </w:r>
    </w:p>
    <w:p w:rsidR="0090078E" w:rsidRDefault="0090078E" w:rsidP="0090078E">
      <w:pPr>
        <w:numPr>
          <w:ilvl w:val="0"/>
          <w:numId w:val="3"/>
        </w:numPr>
        <w:shd w:val="clear" w:color="auto" w:fill="FFFFFF"/>
        <w:jc w:val="both"/>
        <w:rPr>
          <w:rFonts w:ascii="Times New Roman" w:eastAsia="Times New Roman" w:hAnsi="Times New Roman" w:cs="Times New Roman"/>
          <w:lang w:eastAsia="tr-TR"/>
        </w:rPr>
      </w:pPr>
      <w:r>
        <w:rPr>
          <w:rFonts w:ascii="Times New Roman" w:eastAsia="Times New Roman" w:hAnsi="Times New Roman" w:cs="Times New Roman"/>
          <w:lang w:eastAsia="tr-TR"/>
        </w:rPr>
        <w:t>Ocak 2017’de işveren tarafından sisteme dahil olduğu bildirilen bir çalışan cayma hakkını, işverenin bildirim tarihinden başlayarak 31 Mart 2017 tarihine kadar kullanabilecektir. Çalışanın iki ay içerisinde emeklilik planından çıkması durumunda ödemiş olduğu katkı payları varsa hesabında bulunan yatırım gelirleri ile birlikte 10 iş günü içerisinde kendisine iade edilecektir.  2 aylık cayma süresinin sonunda sistemde kalmayı tercih etmeleri halinde 1.000 TL ilave devlet katkısı sistem birikimine eklenecektir.</w:t>
      </w:r>
    </w:p>
    <w:p w:rsidR="0090078E" w:rsidRDefault="0090078E" w:rsidP="0090078E">
      <w:pPr>
        <w:shd w:val="clear" w:color="auto" w:fill="FFFFFF"/>
        <w:jc w:val="both"/>
        <w:rPr>
          <w:rFonts w:ascii="Times New Roman" w:hAnsi="Times New Roman" w:cs="Times New Roman"/>
          <w:lang w:eastAsia="tr-TR"/>
        </w:rPr>
      </w:pPr>
    </w:p>
    <w:p w:rsidR="0090078E" w:rsidRDefault="0090078E" w:rsidP="0090078E">
      <w:pPr>
        <w:shd w:val="clear" w:color="auto" w:fill="FFFFFF"/>
        <w:jc w:val="both"/>
        <w:rPr>
          <w:rFonts w:ascii="Times New Roman" w:hAnsi="Times New Roman" w:cs="Times New Roman"/>
          <w:b/>
          <w:bCs/>
          <w:i/>
          <w:iCs/>
          <w:u w:val="single"/>
          <w:lang w:eastAsia="tr-TR"/>
        </w:rPr>
      </w:pPr>
      <w:r>
        <w:rPr>
          <w:rFonts w:ascii="Times New Roman" w:hAnsi="Times New Roman" w:cs="Times New Roman"/>
          <w:b/>
          <w:bCs/>
          <w:i/>
          <w:iCs/>
          <w:u w:val="single"/>
          <w:lang w:eastAsia="tr-TR"/>
        </w:rPr>
        <w:lastRenderedPageBreak/>
        <w:t>Otomatik katılıma geçiş takvimi aşağıdaki gibidir:</w:t>
      </w:r>
    </w:p>
    <w:p w:rsidR="0090078E" w:rsidRDefault="0090078E" w:rsidP="0090078E">
      <w:pPr>
        <w:shd w:val="clear" w:color="auto" w:fill="FFFFFF"/>
        <w:spacing w:before="195" w:line="225" w:lineRule="atLeast"/>
        <w:jc w:val="both"/>
        <w:rPr>
          <w:rFonts w:ascii="Times New Roman" w:hAnsi="Times New Roman" w:cs="Times New Roman"/>
          <w:lang w:val="en-GB" w:eastAsia="tr-TR"/>
        </w:rPr>
      </w:pPr>
      <w:r>
        <w:rPr>
          <w:noProof/>
          <w:lang w:eastAsia="tr-TR"/>
        </w:rPr>
        <w:drawing>
          <wp:inline distT="0" distB="0" distL="0" distR="0">
            <wp:extent cx="3154680" cy="1630680"/>
            <wp:effectExtent l="0" t="0" r="7620" b="7620"/>
            <wp:docPr id="2" name="Picture 2" descr="cid:image001.png@01D2517C.0C5F1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517C.0C5F1C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54680" cy="1630680"/>
                    </a:xfrm>
                    <a:prstGeom prst="rect">
                      <a:avLst/>
                    </a:prstGeom>
                    <a:noFill/>
                    <a:ln>
                      <a:noFill/>
                    </a:ln>
                  </pic:spPr>
                </pic:pic>
              </a:graphicData>
            </a:graphic>
          </wp:inline>
        </w:drawing>
      </w:r>
      <w:bookmarkStart w:id="0" w:name="_GoBack"/>
      <w:bookmarkEnd w:id="0"/>
    </w:p>
    <w:p w:rsidR="002F1FCB" w:rsidRDefault="0090078E"/>
    <w:sectPr w:rsidR="002F1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B14FA"/>
    <w:multiLevelType w:val="hybridMultilevel"/>
    <w:tmpl w:val="DB7822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8716C63"/>
    <w:multiLevelType w:val="hybridMultilevel"/>
    <w:tmpl w:val="DF7A0A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AA21554"/>
    <w:multiLevelType w:val="hybridMultilevel"/>
    <w:tmpl w:val="620CCF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8E"/>
    <w:rsid w:val="00090372"/>
    <w:rsid w:val="0090078E"/>
    <w:rsid w:val="00E51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22869-E010-4665-8B91-B802CDE1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007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517C.0C5F1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2016-12-09T07:18:00Z</dcterms:created>
  <dcterms:modified xsi:type="dcterms:W3CDTF">2016-12-09T07:20:00Z</dcterms:modified>
</cp:coreProperties>
</file>