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A03" w:rsidRDefault="00A40A03" w:rsidP="00A40A03">
      <w:pPr>
        <w:pStyle w:val="2-OrtaBaslk"/>
        <w:spacing w:line="240" w:lineRule="exact"/>
        <w:jc w:val="left"/>
        <w:rPr>
          <w:color w:val="548DD4"/>
          <w:sz w:val="26"/>
          <w:szCs w:val="26"/>
        </w:rPr>
      </w:pPr>
      <w:r>
        <w:rPr>
          <w:color w:val="548DD4"/>
          <w:sz w:val="26"/>
          <w:szCs w:val="26"/>
        </w:rPr>
        <w:t>2017 Y</w:t>
      </w:r>
      <w:r>
        <w:rPr>
          <w:rFonts w:ascii="Times" w:hAnsi="Times" w:cs="Times"/>
          <w:color w:val="548DD4"/>
          <w:sz w:val="26"/>
          <w:szCs w:val="26"/>
        </w:rPr>
        <w:t>ı</w:t>
      </w:r>
      <w:r>
        <w:rPr>
          <w:color w:val="548DD4"/>
          <w:sz w:val="26"/>
          <w:szCs w:val="26"/>
        </w:rPr>
        <w:t>l</w:t>
      </w:r>
      <w:r>
        <w:rPr>
          <w:rFonts w:ascii="Times" w:hAnsi="Times" w:cs="Times"/>
          <w:color w:val="548DD4"/>
          <w:sz w:val="26"/>
          <w:szCs w:val="26"/>
        </w:rPr>
        <w:t>ı</w:t>
      </w:r>
      <w:r>
        <w:rPr>
          <w:color w:val="548DD4"/>
          <w:sz w:val="26"/>
          <w:szCs w:val="26"/>
        </w:rPr>
        <w:t>na Girmeden Dikkat Edilmesi Gereken Hususlar</w:t>
      </w:r>
    </w:p>
    <w:p w:rsidR="00A40A03" w:rsidRDefault="00A40A03" w:rsidP="00A40A03">
      <w:pPr>
        <w:jc w:val="both"/>
        <w:rPr>
          <w:rFonts w:ascii="Times New Roman" w:hAnsi="Times New Roman" w:cs="Times New Roman"/>
          <w:b/>
          <w:bCs/>
          <w:sz w:val="24"/>
          <w:szCs w:val="24"/>
        </w:rPr>
      </w:pPr>
    </w:p>
    <w:p w:rsidR="00A40A03" w:rsidRDefault="00A40A03" w:rsidP="00A40A03">
      <w:pPr>
        <w:pStyle w:val="NormalWeb"/>
        <w:shd w:val="clear" w:color="auto" w:fill="FFFFFF"/>
        <w:spacing w:before="0" w:line="240" w:lineRule="auto"/>
        <w:jc w:val="both"/>
        <w:rPr>
          <w:rFonts w:ascii="Times New Roman" w:hAnsi="Times New Roman" w:cs="Times New Roman"/>
          <w:sz w:val="22"/>
          <w:szCs w:val="22"/>
        </w:rPr>
      </w:pPr>
      <w:r>
        <w:rPr>
          <w:rFonts w:ascii="Times New Roman" w:hAnsi="Times New Roman" w:cs="Times New Roman"/>
          <w:sz w:val="22"/>
          <w:szCs w:val="22"/>
        </w:rPr>
        <w:t>2017 yılına girmeden yapılması ve dikkat edilmesi gereken hususlar aşağıdaki gibidir:</w:t>
      </w:r>
    </w:p>
    <w:p w:rsidR="00A40A03" w:rsidRDefault="00A40A03" w:rsidP="00A40A03">
      <w:pPr>
        <w:pStyle w:val="NormalWeb"/>
        <w:shd w:val="clear" w:color="auto" w:fill="FFFFFF"/>
        <w:spacing w:before="0" w:line="240" w:lineRule="auto"/>
        <w:jc w:val="both"/>
        <w:rPr>
          <w:rFonts w:ascii="Times New Roman" w:hAnsi="Times New Roman" w:cs="Times New Roman"/>
          <w:sz w:val="22"/>
          <w:szCs w:val="22"/>
        </w:rPr>
      </w:pPr>
    </w:p>
    <w:p w:rsidR="00A40A03" w:rsidRDefault="00A40A03" w:rsidP="00A40A03">
      <w:pPr>
        <w:pStyle w:val="NormalWeb"/>
        <w:numPr>
          <w:ilvl w:val="0"/>
          <w:numId w:val="1"/>
        </w:numPr>
        <w:shd w:val="clear" w:color="auto" w:fill="FFFFFF"/>
        <w:spacing w:before="0" w:line="240" w:lineRule="auto"/>
        <w:ind w:left="360"/>
        <w:jc w:val="both"/>
        <w:rPr>
          <w:rFonts w:ascii="Times New Roman" w:hAnsi="Times New Roman" w:cs="Times New Roman"/>
          <w:b/>
          <w:bCs/>
          <w:sz w:val="22"/>
          <w:szCs w:val="22"/>
          <w:u w:val="single"/>
        </w:rPr>
      </w:pPr>
      <w:r>
        <w:rPr>
          <w:rFonts w:ascii="Times New Roman" w:hAnsi="Times New Roman" w:cs="Times New Roman"/>
          <w:b/>
          <w:bCs/>
          <w:sz w:val="22"/>
          <w:szCs w:val="22"/>
          <w:u w:val="single"/>
        </w:rPr>
        <w:t>Defter Tasdikleri:</w:t>
      </w:r>
    </w:p>
    <w:p w:rsidR="00A40A03" w:rsidRDefault="00A40A03" w:rsidP="00A40A03">
      <w:pPr>
        <w:pStyle w:val="NormalWeb"/>
        <w:shd w:val="clear" w:color="auto" w:fill="FFFFFF"/>
        <w:spacing w:before="0" w:line="240" w:lineRule="auto"/>
        <w:ind w:left="360"/>
        <w:jc w:val="both"/>
        <w:rPr>
          <w:rFonts w:ascii="Times New Roman" w:hAnsi="Times New Roman" w:cs="Times New Roman"/>
          <w:sz w:val="22"/>
          <w:szCs w:val="22"/>
        </w:rPr>
      </w:pPr>
    </w:p>
    <w:p w:rsidR="00A40A03" w:rsidRDefault="00A40A03" w:rsidP="00A40A03">
      <w:pPr>
        <w:pStyle w:val="NormalWeb"/>
        <w:shd w:val="clear" w:color="auto" w:fill="FFFFFF"/>
        <w:spacing w:before="0" w:line="240" w:lineRule="auto"/>
        <w:ind w:left="360"/>
        <w:jc w:val="both"/>
        <w:rPr>
          <w:rFonts w:ascii="Times New Roman" w:hAnsi="Times New Roman" w:cs="Times New Roman"/>
          <w:sz w:val="22"/>
          <w:szCs w:val="22"/>
        </w:rPr>
      </w:pPr>
      <w:r>
        <w:rPr>
          <w:rFonts w:ascii="Times New Roman" w:hAnsi="Times New Roman" w:cs="Times New Roman"/>
          <w:sz w:val="22"/>
          <w:szCs w:val="22"/>
        </w:rPr>
        <w:t>Vergi Usul Kanunu ve Türk Ticaret Kanunu çerçevesinde 2017 yılında kullanılacak aşağıdaki defterlerin açılış tasdikleri 2016 Aralık ayında yaptırılmalıdır:</w:t>
      </w:r>
    </w:p>
    <w:p w:rsidR="00A40A03" w:rsidRDefault="00A40A03" w:rsidP="00A40A03">
      <w:pPr>
        <w:pStyle w:val="NormalWeb"/>
        <w:numPr>
          <w:ilvl w:val="0"/>
          <w:numId w:val="2"/>
        </w:numPr>
        <w:shd w:val="clear" w:color="auto" w:fill="FFFFFF"/>
        <w:spacing w:before="0" w:line="240" w:lineRule="auto"/>
        <w:ind w:left="1080"/>
        <w:jc w:val="both"/>
        <w:rPr>
          <w:rFonts w:ascii="Times New Roman" w:hAnsi="Times New Roman" w:cs="Times New Roman"/>
          <w:sz w:val="22"/>
          <w:szCs w:val="22"/>
        </w:rPr>
      </w:pPr>
      <w:r>
        <w:rPr>
          <w:rFonts w:ascii="Times New Roman" w:hAnsi="Times New Roman" w:cs="Times New Roman"/>
          <w:sz w:val="22"/>
          <w:szCs w:val="22"/>
        </w:rPr>
        <w:t>Yevmiye defteri</w:t>
      </w:r>
    </w:p>
    <w:p w:rsidR="00A40A03" w:rsidRDefault="00A40A03" w:rsidP="00A40A03">
      <w:pPr>
        <w:pStyle w:val="NormalWeb"/>
        <w:numPr>
          <w:ilvl w:val="0"/>
          <w:numId w:val="2"/>
        </w:numPr>
        <w:shd w:val="clear" w:color="auto" w:fill="FFFFFF"/>
        <w:spacing w:before="0" w:line="240" w:lineRule="auto"/>
        <w:ind w:left="1080"/>
        <w:jc w:val="both"/>
        <w:rPr>
          <w:rFonts w:ascii="Times New Roman" w:hAnsi="Times New Roman" w:cs="Times New Roman"/>
          <w:sz w:val="22"/>
          <w:szCs w:val="22"/>
        </w:rPr>
      </w:pPr>
      <w:r>
        <w:rPr>
          <w:rFonts w:ascii="Times New Roman" w:hAnsi="Times New Roman" w:cs="Times New Roman"/>
          <w:sz w:val="22"/>
          <w:szCs w:val="22"/>
        </w:rPr>
        <w:t>Envanter defteri</w:t>
      </w:r>
    </w:p>
    <w:p w:rsidR="00A40A03" w:rsidRDefault="00A40A03" w:rsidP="00A40A03">
      <w:pPr>
        <w:pStyle w:val="NormalWeb"/>
        <w:numPr>
          <w:ilvl w:val="0"/>
          <w:numId w:val="2"/>
        </w:numPr>
        <w:shd w:val="clear" w:color="auto" w:fill="FFFFFF"/>
        <w:spacing w:before="0" w:line="240" w:lineRule="auto"/>
        <w:ind w:left="1080"/>
        <w:jc w:val="both"/>
        <w:rPr>
          <w:rFonts w:ascii="Times New Roman" w:hAnsi="Times New Roman" w:cs="Times New Roman"/>
          <w:sz w:val="22"/>
          <w:szCs w:val="22"/>
        </w:rPr>
      </w:pPr>
      <w:r>
        <w:rPr>
          <w:rFonts w:ascii="Times New Roman" w:hAnsi="Times New Roman" w:cs="Times New Roman"/>
          <w:sz w:val="22"/>
          <w:szCs w:val="22"/>
        </w:rPr>
        <w:t>Defteri kebir</w:t>
      </w:r>
    </w:p>
    <w:p w:rsidR="00A40A03" w:rsidRDefault="00A40A03" w:rsidP="00A40A03">
      <w:pPr>
        <w:pStyle w:val="NormalWeb"/>
        <w:numPr>
          <w:ilvl w:val="0"/>
          <w:numId w:val="2"/>
        </w:numPr>
        <w:shd w:val="clear" w:color="auto" w:fill="FFFFFF"/>
        <w:spacing w:before="0" w:line="240" w:lineRule="auto"/>
        <w:ind w:left="1080"/>
        <w:jc w:val="both"/>
        <w:rPr>
          <w:rFonts w:ascii="Times New Roman" w:hAnsi="Times New Roman" w:cs="Times New Roman"/>
          <w:sz w:val="22"/>
          <w:szCs w:val="22"/>
        </w:rPr>
      </w:pPr>
      <w:r>
        <w:rPr>
          <w:rFonts w:ascii="Times New Roman" w:hAnsi="Times New Roman" w:cs="Times New Roman"/>
          <w:sz w:val="22"/>
          <w:szCs w:val="22"/>
        </w:rPr>
        <w:t>Pay defteri*</w:t>
      </w:r>
    </w:p>
    <w:p w:rsidR="00A40A03" w:rsidRDefault="00A40A03" w:rsidP="00A40A03">
      <w:pPr>
        <w:pStyle w:val="NormalWeb"/>
        <w:numPr>
          <w:ilvl w:val="0"/>
          <w:numId w:val="2"/>
        </w:numPr>
        <w:shd w:val="clear" w:color="auto" w:fill="FFFFFF"/>
        <w:spacing w:before="0" w:line="240" w:lineRule="auto"/>
        <w:ind w:left="1080"/>
        <w:jc w:val="both"/>
        <w:rPr>
          <w:rFonts w:ascii="Times New Roman" w:hAnsi="Times New Roman" w:cs="Times New Roman"/>
          <w:sz w:val="22"/>
          <w:szCs w:val="22"/>
        </w:rPr>
      </w:pPr>
      <w:r>
        <w:rPr>
          <w:rFonts w:ascii="Times New Roman" w:hAnsi="Times New Roman" w:cs="Times New Roman"/>
          <w:sz w:val="22"/>
          <w:szCs w:val="22"/>
        </w:rPr>
        <w:t>Yönetim Kurulu karar defteri</w:t>
      </w:r>
    </w:p>
    <w:p w:rsidR="00A40A03" w:rsidRDefault="00A40A03" w:rsidP="00A40A03">
      <w:pPr>
        <w:pStyle w:val="NormalWeb"/>
        <w:numPr>
          <w:ilvl w:val="0"/>
          <w:numId w:val="2"/>
        </w:numPr>
        <w:shd w:val="clear" w:color="auto" w:fill="FFFFFF"/>
        <w:spacing w:before="0" w:line="240" w:lineRule="auto"/>
        <w:ind w:left="1080"/>
        <w:jc w:val="both"/>
        <w:rPr>
          <w:rFonts w:ascii="Times New Roman" w:hAnsi="Times New Roman" w:cs="Times New Roman"/>
          <w:sz w:val="22"/>
          <w:szCs w:val="22"/>
        </w:rPr>
      </w:pPr>
      <w:r>
        <w:rPr>
          <w:rFonts w:ascii="Times New Roman" w:hAnsi="Times New Roman" w:cs="Times New Roman"/>
          <w:sz w:val="22"/>
          <w:szCs w:val="22"/>
        </w:rPr>
        <w:t>Genel Kurul toplantı ve Müzakere defteri*</w:t>
      </w:r>
    </w:p>
    <w:p w:rsidR="00A40A03" w:rsidRDefault="00A40A03" w:rsidP="00A40A03">
      <w:pPr>
        <w:pStyle w:val="NormalWeb"/>
        <w:shd w:val="clear" w:color="auto" w:fill="FFFFFF"/>
        <w:spacing w:before="0" w:line="240" w:lineRule="auto"/>
        <w:jc w:val="both"/>
        <w:rPr>
          <w:rFonts w:ascii="Times New Roman" w:hAnsi="Times New Roman" w:cs="Times New Roman"/>
          <w:sz w:val="22"/>
          <w:szCs w:val="22"/>
        </w:rPr>
      </w:pPr>
    </w:p>
    <w:p w:rsidR="00A40A03" w:rsidRDefault="00A40A03" w:rsidP="00A40A03">
      <w:pPr>
        <w:pStyle w:val="NormalWeb"/>
        <w:shd w:val="clear" w:color="auto" w:fill="FFFFFF"/>
        <w:spacing w:before="0" w:line="240" w:lineRule="auto"/>
        <w:ind w:left="348"/>
        <w:jc w:val="both"/>
        <w:rPr>
          <w:rFonts w:ascii="Times New Roman" w:hAnsi="Times New Roman" w:cs="Times New Roman"/>
          <w:sz w:val="22"/>
          <w:szCs w:val="22"/>
        </w:rPr>
      </w:pPr>
      <w:r>
        <w:rPr>
          <w:rFonts w:ascii="Times New Roman" w:hAnsi="Times New Roman" w:cs="Times New Roman"/>
          <w:sz w:val="22"/>
          <w:szCs w:val="22"/>
        </w:rPr>
        <w:t>2016 defterlerinde boş sayfası olup önümüzdeki yılda da kullanmak isteyenler Ocak ayı, hesap dönemleri Maliye Bakanlığınca tespit edilenler bu dönemin ilk ayı içinde tasdiki yeniletmekle yükümlüdürler.</w:t>
      </w:r>
    </w:p>
    <w:p w:rsidR="00A40A03" w:rsidRDefault="00A40A03" w:rsidP="00A40A03">
      <w:pPr>
        <w:pStyle w:val="NormalWeb"/>
        <w:shd w:val="clear" w:color="auto" w:fill="FFFFFF"/>
        <w:spacing w:before="0" w:line="240" w:lineRule="auto"/>
        <w:ind w:left="348"/>
        <w:jc w:val="both"/>
        <w:rPr>
          <w:rFonts w:ascii="Times New Roman" w:hAnsi="Times New Roman" w:cs="Times New Roman"/>
          <w:sz w:val="22"/>
          <w:szCs w:val="22"/>
        </w:rPr>
      </w:pPr>
    </w:p>
    <w:p w:rsidR="00A40A03" w:rsidRDefault="00A40A03" w:rsidP="00A40A03">
      <w:pPr>
        <w:pStyle w:val="NormalWeb"/>
        <w:shd w:val="clear" w:color="auto" w:fill="FFFFFF"/>
        <w:spacing w:before="0" w:line="240" w:lineRule="auto"/>
        <w:ind w:left="348"/>
        <w:jc w:val="both"/>
        <w:rPr>
          <w:rFonts w:ascii="Times New Roman" w:hAnsi="Times New Roman" w:cs="Times New Roman"/>
          <w:sz w:val="22"/>
          <w:szCs w:val="22"/>
        </w:rPr>
      </w:pPr>
      <w:r>
        <w:rPr>
          <w:rFonts w:ascii="Times New Roman" w:hAnsi="Times New Roman" w:cs="Times New Roman"/>
          <w:sz w:val="22"/>
          <w:szCs w:val="22"/>
        </w:rPr>
        <w:t>*Pay defteri ile genel kurul toplantı ve müzakere defteri yeterli yaprakları bulunmak kaydıyla izleyen faaliyet dönemlerinde de açılış onayı yaptırılmaksızın kullanılmaya devam edilebilir.</w:t>
      </w:r>
    </w:p>
    <w:p w:rsidR="00A40A03" w:rsidRDefault="00A40A03" w:rsidP="00A40A03">
      <w:pPr>
        <w:pStyle w:val="NormalWeb"/>
        <w:shd w:val="clear" w:color="auto" w:fill="FFFFFF"/>
        <w:spacing w:before="0" w:line="240" w:lineRule="auto"/>
        <w:ind w:left="348"/>
        <w:jc w:val="both"/>
        <w:rPr>
          <w:rFonts w:ascii="Times New Roman" w:hAnsi="Times New Roman" w:cs="Times New Roman"/>
          <w:sz w:val="22"/>
          <w:szCs w:val="22"/>
        </w:rPr>
      </w:pPr>
    </w:p>
    <w:p w:rsidR="00A40A03" w:rsidRDefault="00A40A03" w:rsidP="00A40A03">
      <w:pPr>
        <w:pStyle w:val="NormalWeb"/>
        <w:shd w:val="clear" w:color="auto" w:fill="FFFFFF"/>
        <w:spacing w:before="0" w:line="240" w:lineRule="auto"/>
        <w:ind w:left="348"/>
        <w:jc w:val="both"/>
        <w:rPr>
          <w:rFonts w:ascii="Times New Roman" w:hAnsi="Times New Roman" w:cs="Times New Roman"/>
          <w:sz w:val="22"/>
          <w:szCs w:val="22"/>
        </w:rPr>
      </w:pPr>
      <w:r>
        <w:rPr>
          <w:rFonts w:ascii="Times New Roman" w:hAnsi="Times New Roman" w:cs="Times New Roman"/>
          <w:sz w:val="22"/>
          <w:szCs w:val="22"/>
        </w:rPr>
        <w:t>Yevmiye defterinin kapanış onayı, izleyen faaliyet döneminin 6. ayının sonuna kadar, yönetim kurulu karar defterinin kapanış onayı ise izleyen faaliyet döneminin 1. ayının sonuna kadar notere yaptırılır.</w:t>
      </w:r>
    </w:p>
    <w:p w:rsidR="00A40A03" w:rsidRDefault="00A40A03" w:rsidP="00A40A03">
      <w:pPr>
        <w:pStyle w:val="NormalWeb"/>
        <w:shd w:val="clear" w:color="auto" w:fill="FFFFFF"/>
        <w:spacing w:before="0" w:line="240" w:lineRule="auto"/>
        <w:ind w:left="348"/>
        <w:jc w:val="both"/>
        <w:rPr>
          <w:rFonts w:ascii="Times New Roman" w:hAnsi="Times New Roman" w:cs="Times New Roman"/>
          <w:sz w:val="22"/>
          <w:szCs w:val="22"/>
        </w:rPr>
      </w:pPr>
    </w:p>
    <w:p w:rsidR="00A40A03" w:rsidRDefault="00A40A03" w:rsidP="00A40A03">
      <w:pPr>
        <w:pStyle w:val="NormalWeb"/>
        <w:shd w:val="clear" w:color="auto" w:fill="FFFFFF"/>
        <w:spacing w:before="0" w:line="240" w:lineRule="auto"/>
        <w:ind w:left="348"/>
        <w:jc w:val="both"/>
        <w:rPr>
          <w:rFonts w:ascii="Times New Roman" w:hAnsi="Times New Roman" w:cs="Times New Roman"/>
          <w:sz w:val="22"/>
          <w:szCs w:val="22"/>
        </w:rPr>
      </w:pPr>
      <w:r>
        <w:rPr>
          <w:rFonts w:ascii="Times New Roman" w:hAnsi="Times New Roman" w:cs="Times New Roman"/>
          <w:sz w:val="22"/>
          <w:szCs w:val="22"/>
        </w:rPr>
        <w:t xml:space="preserve">Ticari defterlerin elektronik ortamda tutulması halinde bu defterlerin açılışlarında ve yevmiye defteri ile yönetim kurulu karar defterinin kapanışında noter onayı aranmaz. </w:t>
      </w:r>
    </w:p>
    <w:p w:rsidR="00A40A03" w:rsidRDefault="00A40A03" w:rsidP="00A40A03">
      <w:pPr>
        <w:pStyle w:val="NormalWeb"/>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1"/>
        </w:numPr>
        <w:spacing w:before="0" w:line="240" w:lineRule="auto"/>
        <w:ind w:left="360"/>
        <w:jc w:val="both"/>
        <w:rPr>
          <w:rFonts w:ascii="Times New Roman" w:hAnsi="Times New Roman" w:cs="Times New Roman"/>
          <w:b/>
          <w:bCs/>
          <w:sz w:val="22"/>
          <w:szCs w:val="22"/>
          <w:u w:val="single"/>
        </w:rPr>
      </w:pPr>
      <w:r>
        <w:rPr>
          <w:rFonts w:ascii="Times New Roman" w:hAnsi="Times New Roman" w:cs="Times New Roman"/>
          <w:b/>
          <w:bCs/>
          <w:sz w:val="22"/>
          <w:szCs w:val="22"/>
          <w:u w:val="single"/>
        </w:rPr>
        <w:t>6736 Sayılı Bazı Alacakların Yeniden Yapılandırılmasına İlişkin Kanuna Göre Yapılacak Ödemeler:</w:t>
      </w:r>
    </w:p>
    <w:p w:rsidR="00A40A03" w:rsidRDefault="00A40A03" w:rsidP="00A40A03">
      <w:pPr>
        <w:pStyle w:val="NormalWeb"/>
        <w:spacing w:before="0" w:line="240" w:lineRule="auto"/>
        <w:jc w:val="both"/>
        <w:rPr>
          <w:rFonts w:ascii="Times New Roman" w:hAnsi="Times New Roman" w:cs="Times New Roman"/>
          <w:b/>
          <w:bCs/>
          <w:sz w:val="22"/>
          <w:szCs w:val="22"/>
          <w:u w:val="single"/>
        </w:rPr>
      </w:pPr>
    </w:p>
    <w:p w:rsidR="00A40A03" w:rsidRDefault="00A40A03" w:rsidP="00A40A03">
      <w:pPr>
        <w:pStyle w:val="ListParagraph"/>
        <w:numPr>
          <w:ilvl w:val="0"/>
          <w:numId w:val="3"/>
        </w:numPr>
        <w:ind w:left="708"/>
        <w:jc w:val="both"/>
        <w:rPr>
          <w:rFonts w:ascii="Times New Roman" w:hAnsi="Times New Roman" w:cs="Times New Roman"/>
          <w:shd w:val="clear" w:color="auto" w:fill="FFFFFF"/>
          <w:lang w:eastAsia="tr-TR"/>
        </w:rPr>
      </w:pPr>
      <w:r>
        <w:rPr>
          <w:rFonts w:ascii="Times New Roman" w:hAnsi="Times New Roman" w:cs="Times New Roman"/>
          <w:shd w:val="clear" w:color="auto" w:fill="FFFFFF"/>
          <w:lang w:eastAsia="tr-TR"/>
        </w:rPr>
        <w:t>6736 Sayılı Kanundan yararlanabilmek için yapılandırılan vergi borcunuza ilişkin ilk iki taksitin süresinde ödenmesi şarttır. Bu sebeple yapılandırmadan çıkmamanız için, 2. taksitinin son ödeme gününü olan 31.01.2016 tarihinden önce ödeme yapılması gerekmektedir.</w:t>
      </w:r>
    </w:p>
    <w:p w:rsidR="00A40A03" w:rsidRDefault="00A40A03" w:rsidP="00A40A03">
      <w:pPr>
        <w:pStyle w:val="ListParagraph"/>
        <w:ind w:left="708"/>
        <w:jc w:val="both"/>
        <w:rPr>
          <w:rFonts w:ascii="Times New Roman" w:hAnsi="Times New Roman" w:cs="Times New Roman"/>
          <w:shd w:val="clear" w:color="auto" w:fill="FFFFFF"/>
          <w:lang w:eastAsia="tr-TR"/>
        </w:rPr>
      </w:pPr>
    </w:p>
    <w:p w:rsidR="00A40A03" w:rsidRDefault="00A40A03" w:rsidP="00A40A03">
      <w:pPr>
        <w:pStyle w:val="ListParagraph"/>
        <w:numPr>
          <w:ilvl w:val="0"/>
          <w:numId w:val="3"/>
        </w:numPr>
        <w:ind w:left="708"/>
        <w:jc w:val="both"/>
        <w:rPr>
          <w:rFonts w:ascii="Times New Roman" w:hAnsi="Times New Roman" w:cs="Times New Roman"/>
          <w:shd w:val="clear" w:color="auto" w:fill="FFFFFF"/>
          <w:lang w:eastAsia="tr-TR"/>
        </w:rPr>
      </w:pPr>
      <w:r>
        <w:rPr>
          <w:rFonts w:ascii="Times New Roman" w:hAnsi="Times New Roman" w:cs="Times New Roman"/>
          <w:shd w:val="clear" w:color="auto" w:fill="FFFFFF"/>
          <w:lang w:eastAsia="tr-TR"/>
        </w:rPr>
        <w:t>6736 Sayılı Kanundan yararlanabilmek için yapılandırılan SGK borcunuza ilişkin;</w:t>
      </w:r>
    </w:p>
    <w:p w:rsidR="00A40A03" w:rsidRDefault="00A40A03" w:rsidP="00A40A03">
      <w:pPr>
        <w:pStyle w:val="NormalWeb"/>
        <w:numPr>
          <w:ilvl w:val="0"/>
          <w:numId w:val="4"/>
        </w:numPr>
        <w:spacing w:before="0" w:line="240" w:lineRule="auto"/>
        <w:ind w:left="1134"/>
        <w:jc w:val="both"/>
        <w:rPr>
          <w:rFonts w:ascii="Times New Roman" w:hAnsi="Times New Roman" w:cs="Times New Roman"/>
          <w:sz w:val="22"/>
          <w:szCs w:val="22"/>
        </w:rPr>
      </w:pPr>
      <w:r>
        <w:rPr>
          <w:rFonts w:ascii="Times New Roman" w:hAnsi="Times New Roman" w:cs="Times New Roman"/>
          <w:sz w:val="22"/>
          <w:szCs w:val="22"/>
        </w:rPr>
        <w:t xml:space="preserve">Peşin ödeme seçeneğini seçenler, 02.01.2017 tarihine kadar yapılandırılmış borcu ödemek zorundadırlar. </w:t>
      </w:r>
    </w:p>
    <w:p w:rsidR="00A40A03" w:rsidRDefault="00A40A03" w:rsidP="00A40A03">
      <w:pPr>
        <w:pStyle w:val="NormalWeb"/>
        <w:numPr>
          <w:ilvl w:val="0"/>
          <w:numId w:val="4"/>
        </w:numPr>
        <w:spacing w:before="0" w:line="240" w:lineRule="auto"/>
        <w:ind w:left="1134"/>
        <w:jc w:val="both"/>
        <w:rPr>
          <w:rFonts w:ascii="Times New Roman" w:hAnsi="Times New Roman" w:cs="Times New Roman"/>
          <w:sz w:val="22"/>
          <w:szCs w:val="22"/>
        </w:rPr>
      </w:pPr>
      <w:r>
        <w:rPr>
          <w:rFonts w:ascii="Times New Roman" w:hAnsi="Times New Roman" w:cs="Times New Roman"/>
          <w:sz w:val="22"/>
          <w:szCs w:val="22"/>
        </w:rPr>
        <w:t>Taksitle ödeme seçeneği seçenler ilk taksiti 02.01.2017 tarihine kadar ikinci taksiti de 28.02.2017 tarihine kadar ödemek zorundadırlar. İlk iki taksitin zamanında ödenme zorunluluğu vardır. İlk iki taksitten biri ödenmez ya da geç ödenir ise yapılandırma bozulacaktır.</w:t>
      </w:r>
    </w:p>
    <w:p w:rsidR="00A40A03" w:rsidRDefault="00A40A03" w:rsidP="00A40A03">
      <w:pPr>
        <w:rPr>
          <w:rFonts w:ascii="Times New Roman" w:hAnsi="Times New Roman" w:cs="Times New Roman"/>
        </w:rPr>
      </w:pPr>
    </w:p>
    <w:p w:rsidR="00A40A03" w:rsidRDefault="00A40A03" w:rsidP="00A40A03">
      <w:pPr>
        <w:pStyle w:val="NormalWeb"/>
        <w:numPr>
          <w:ilvl w:val="0"/>
          <w:numId w:val="1"/>
        </w:numPr>
        <w:spacing w:before="0" w:line="240" w:lineRule="auto"/>
        <w:ind w:left="360"/>
        <w:jc w:val="both"/>
        <w:rPr>
          <w:rFonts w:ascii="Times New Roman" w:hAnsi="Times New Roman" w:cs="Times New Roman"/>
          <w:b/>
          <w:bCs/>
          <w:sz w:val="22"/>
          <w:szCs w:val="22"/>
          <w:u w:val="single"/>
        </w:rPr>
      </w:pPr>
      <w:r>
        <w:rPr>
          <w:rFonts w:ascii="Times New Roman" w:hAnsi="Times New Roman" w:cs="Times New Roman"/>
          <w:b/>
          <w:bCs/>
          <w:sz w:val="22"/>
          <w:szCs w:val="22"/>
          <w:u w:val="single"/>
        </w:rPr>
        <w:t>Varlık Barışına İlişkin Düzenleme:</w:t>
      </w:r>
    </w:p>
    <w:p w:rsidR="00A40A03" w:rsidRDefault="00A40A03" w:rsidP="00A40A03">
      <w:pPr>
        <w:pStyle w:val="NormalWeb"/>
        <w:spacing w:before="0" w:line="240" w:lineRule="auto"/>
        <w:ind w:left="360"/>
        <w:jc w:val="both"/>
        <w:rPr>
          <w:rFonts w:ascii="Times New Roman" w:hAnsi="Times New Roman" w:cs="Times New Roman"/>
          <w:b/>
          <w:bCs/>
          <w:sz w:val="22"/>
          <w:szCs w:val="22"/>
          <w:u w:val="single"/>
        </w:rPr>
      </w:pPr>
    </w:p>
    <w:p w:rsidR="00A40A03" w:rsidRDefault="00A40A03" w:rsidP="00A40A03">
      <w:pPr>
        <w:pStyle w:val="NormalWeb"/>
        <w:spacing w:before="0" w:line="240" w:lineRule="auto"/>
        <w:ind w:left="360"/>
        <w:jc w:val="both"/>
        <w:rPr>
          <w:rFonts w:ascii="Times New Roman" w:hAnsi="Times New Roman" w:cs="Times New Roman"/>
          <w:sz w:val="22"/>
          <w:szCs w:val="22"/>
        </w:rPr>
      </w:pPr>
      <w:r>
        <w:rPr>
          <w:rFonts w:ascii="Times New Roman" w:hAnsi="Times New Roman" w:cs="Times New Roman"/>
          <w:sz w:val="22"/>
          <w:szCs w:val="22"/>
        </w:rPr>
        <w:t>31.12.2016 tarihine kadar gerçek ve tüzel kişilerce, yurt dışında bulunan para, döviz, altın, hisse senedi, tahvil ve diğer menkul kıymetlerin banka ve aracı kurumlara bildirilmesi, alacak ve taşınmazların vergi dairelerine beyan edilmesi, yapılan bu bildirim ve beyanlardan hareketle vergi incelemesi, vergi tarhiyatı, soruşturma ve kovuşturma yapılmaması öngörülmektedir.</w:t>
      </w:r>
    </w:p>
    <w:p w:rsidR="00A40A03" w:rsidRDefault="00A40A03" w:rsidP="00A40A03">
      <w:pPr>
        <w:pStyle w:val="NormalWeb"/>
        <w:spacing w:before="0" w:line="240" w:lineRule="auto"/>
        <w:ind w:left="360"/>
        <w:jc w:val="both"/>
        <w:rPr>
          <w:rFonts w:ascii="Times New Roman" w:hAnsi="Times New Roman" w:cs="Times New Roman"/>
          <w:sz w:val="22"/>
          <w:szCs w:val="22"/>
        </w:rPr>
      </w:pPr>
    </w:p>
    <w:p w:rsidR="00A40A03" w:rsidRDefault="00A40A03" w:rsidP="00A40A03">
      <w:pPr>
        <w:ind w:firstLine="360"/>
        <w:jc w:val="both"/>
        <w:rPr>
          <w:rFonts w:ascii="Times New Roman" w:hAnsi="Times New Roman" w:cs="Times New Roman"/>
          <w:shd w:val="clear" w:color="auto" w:fill="FFFFFF"/>
          <w:lang w:eastAsia="tr-TR"/>
        </w:rPr>
      </w:pPr>
      <w:r>
        <w:rPr>
          <w:rFonts w:ascii="Times New Roman" w:hAnsi="Times New Roman" w:cs="Times New Roman"/>
          <w:shd w:val="clear" w:color="auto" w:fill="FFFFFF"/>
          <w:lang w:eastAsia="tr-TR"/>
        </w:rPr>
        <w:t>31.12.2016 tarihine kadar varlıkların Türkiye’ye getirilmesi gerekmektedir. Getirilmekten maksat;</w:t>
      </w:r>
    </w:p>
    <w:p w:rsidR="00A40A03" w:rsidRDefault="00A40A03" w:rsidP="00A40A03">
      <w:pPr>
        <w:pStyle w:val="ListParagraph"/>
        <w:numPr>
          <w:ilvl w:val="0"/>
          <w:numId w:val="3"/>
        </w:numPr>
        <w:ind w:left="708"/>
        <w:jc w:val="both"/>
        <w:rPr>
          <w:rFonts w:ascii="Times New Roman" w:hAnsi="Times New Roman" w:cs="Times New Roman"/>
          <w:shd w:val="clear" w:color="auto" w:fill="FFFFFF"/>
          <w:lang w:eastAsia="tr-TR"/>
        </w:rPr>
      </w:pPr>
      <w:r>
        <w:rPr>
          <w:rFonts w:ascii="Times New Roman" w:hAnsi="Times New Roman" w:cs="Times New Roman"/>
          <w:shd w:val="clear" w:color="auto" w:fill="FFFFFF"/>
          <w:lang w:eastAsia="tr-TR"/>
        </w:rPr>
        <w:lastRenderedPageBreak/>
        <w:t>Para, döviz, altın, menkul kıymet ve diğer sermaye piyasası araçlarının fiziki olarak Türkiye’ye getirilmesi veya bu varlıkların Türkiye’deki banka veya aracı kurumlarda açılacak bir hesaba transfer edilmesi ya da</w:t>
      </w:r>
    </w:p>
    <w:p w:rsidR="00A40A03" w:rsidRDefault="00A40A03" w:rsidP="00A40A03">
      <w:pPr>
        <w:pStyle w:val="ListParagraph"/>
        <w:numPr>
          <w:ilvl w:val="0"/>
          <w:numId w:val="3"/>
        </w:numPr>
        <w:ind w:left="708"/>
        <w:jc w:val="both"/>
        <w:rPr>
          <w:rFonts w:ascii="Times New Roman" w:hAnsi="Times New Roman" w:cs="Times New Roman"/>
          <w:shd w:val="clear" w:color="auto" w:fill="FFFFFF"/>
          <w:lang w:eastAsia="tr-TR"/>
        </w:rPr>
      </w:pPr>
      <w:r>
        <w:rPr>
          <w:rFonts w:ascii="Times New Roman" w:hAnsi="Times New Roman" w:cs="Times New Roman"/>
          <w:shd w:val="clear" w:color="auto" w:fill="FFFFFF"/>
          <w:lang w:eastAsia="tr-TR"/>
        </w:rPr>
        <w:t>Menkul kıymet ve diğer sermaye piyasası araçlarının aracı kurumlara bildirilmesidir.</w:t>
      </w:r>
    </w:p>
    <w:p w:rsidR="00A40A03" w:rsidRDefault="00A40A03" w:rsidP="00A40A03">
      <w:pPr>
        <w:pStyle w:val="NormalWeb"/>
        <w:shd w:val="clear" w:color="auto" w:fill="FFFFFF"/>
        <w:spacing w:before="0" w:line="240" w:lineRule="auto"/>
        <w:jc w:val="both"/>
        <w:rPr>
          <w:rFonts w:ascii="Times New Roman" w:hAnsi="Times New Roman" w:cs="Times New Roman"/>
          <w:sz w:val="22"/>
          <w:szCs w:val="22"/>
        </w:rPr>
      </w:pPr>
    </w:p>
    <w:p w:rsidR="00A40A03" w:rsidRDefault="00A40A03" w:rsidP="00A40A03">
      <w:pPr>
        <w:pStyle w:val="NormalWeb"/>
        <w:numPr>
          <w:ilvl w:val="0"/>
          <w:numId w:val="1"/>
        </w:numPr>
        <w:shd w:val="clear" w:color="auto" w:fill="FFFFFF"/>
        <w:spacing w:before="0" w:line="240" w:lineRule="auto"/>
        <w:ind w:left="360"/>
        <w:jc w:val="both"/>
        <w:rPr>
          <w:rFonts w:ascii="Times New Roman" w:hAnsi="Times New Roman" w:cs="Times New Roman"/>
          <w:b/>
          <w:bCs/>
          <w:sz w:val="22"/>
          <w:szCs w:val="22"/>
          <w:u w:val="single"/>
        </w:rPr>
      </w:pPr>
      <w:r>
        <w:rPr>
          <w:rFonts w:ascii="Times New Roman" w:hAnsi="Times New Roman" w:cs="Times New Roman"/>
          <w:b/>
          <w:bCs/>
          <w:sz w:val="22"/>
          <w:szCs w:val="22"/>
          <w:u w:val="single"/>
        </w:rPr>
        <w:t>Diğer:</w:t>
      </w:r>
    </w:p>
    <w:p w:rsidR="00A40A03" w:rsidRDefault="00A40A03" w:rsidP="00A40A03">
      <w:pPr>
        <w:pStyle w:val="NormalWeb"/>
        <w:shd w:val="clear" w:color="auto" w:fill="FFFFFF"/>
        <w:spacing w:before="0" w:line="240" w:lineRule="auto"/>
        <w:ind w:firstLine="708"/>
        <w:jc w:val="both"/>
        <w:rPr>
          <w:rFonts w:ascii="Times New Roman" w:hAnsi="Times New Roman" w:cs="Times New Roman"/>
          <w:sz w:val="22"/>
          <w:szCs w:val="22"/>
        </w:rPr>
      </w:pPr>
    </w:p>
    <w:p w:rsidR="00A40A03" w:rsidRDefault="00A40A03" w:rsidP="00A40A03">
      <w:pPr>
        <w:pStyle w:val="NormalWeb"/>
        <w:shd w:val="clear" w:color="auto" w:fill="FFFFFF"/>
        <w:spacing w:before="0" w:line="240" w:lineRule="auto"/>
        <w:ind w:firstLine="348"/>
        <w:jc w:val="both"/>
        <w:rPr>
          <w:rFonts w:ascii="Times New Roman" w:hAnsi="Times New Roman" w:cs="Times New Roman"/>
          <w:sz w:val="22"/>
          <w:szCs w:val="22"/>
        </w:rPr>
      </w:pPr>
      <w:r>
        <w:rPr>
          <w:rFonts w:ascii="Times New Roman" w:hAnsi="Times New Roman" w:cs="Times New Roman"/>
          <w:sz w:val="22"/>
          <w:szCs w:val="22"/>
        </w:rPr>
        <w:t>Diğer dikkat edilmesi gereken hususlar aşağıdaki gibidir:</w:t>
      </w:r>
    </w:p>
    <w:p w:rsidR="00A40A03" w:rsidRDefault="00A40A03" w:rsidP="00A40A03">
      <w:pPr>
        <w:pStyle w:val="NormalWeb"/>
        <w:shd w:val="clear" w:color="auto" w:fill="FFFFFF"/>
        <w:spacing w:before="0" w:line="240" w:lineRule="auto"/>
        <w:ind w:firstLine="708"/>
        <w:jc w:val="both"/>
        <w:rPr>
          <w:rFonts w:ascii="Times New Roman" w:hAnsi="Times New Roman" w:cs="Times New Roman"/>
          <w:sz w:val="22"/>
          <w:szCs w:val="22"/>
        </w:rPr>
      </w:pPr>
    </w:p>
    <w:p w:rsidR="00A40A03" w:rsidRDefault="00A40A03" w:rsidP="00A40A03">
      <w:pPr>
        <w:pStyle w:val="ListParagraph"/>
        <w:numPr>
          <w:ilvl w:val="0"/>
          <w:numId w:val="3"/>
        </w:numPr>
        <w:ind w:left="708"/>
        <w:jc w:val="both"/>
        <w:rPr>
          <w:rFonts w:ascii="Times New Roman" w:hAnsi="Times New Roman" w:cs="Times New Roman"/>
          <w:shd w:val="clear" w:color="auto" w:fill="FFFFFF"/>
          <w:lang w:eastAsia="tr-TR"/>
        </w:rPr>
      </w:pPr>
      <w:r>
        <w:rPr>
          <w:rFonts w:ascii="Times New Roman" w:hAnsi="Times New Roman" w:cs="Times New Roman"/>
          <w:shd w:val="clear" w:color="auto" w:fill="FFFFFF"/>
          <w:lang w:eastAsia="tr-TR"/>
        </w:rPr>
        <w:t>Kasa sayımı yapılmalı, noksan veya fazlalıklar tespit edilip kayıtlara alınmalıdır.</w:t>
      </w:r>
    </w:p>
    <w:p w:rsidR="00A40A03" w:rsidRDefault="00A40A03" w:rsidP="00A40A03">
      <w:pPr>
        <w:pStyle w:val="ListParagraph"/>
        <w:ind w:left="708"/>
        <w:jc w:val="both"/>
        <w:rPr>
          <w:rFonts w:ascii="Times New Roman" w:hAnsi="Times New Roman" w:cs="Times New Roman"/>
          <w:shd w:val="clear" w:color="auto" w:fill="FFFFFF"/>
          <w:lang w:eastAsia="tr-TR"/>
        </w:rPr>
      </w:pPr>
    </w:p>
    <w:p w:rsidR="00A40A03" w:rsidRDefault="00A40A03" w:rsidP="00A40A03">
      <w:pPr>
        <w:pStyle w:val="ListParagraph"/>
        <w:numPr>
          <w:ilvl w:val="0"/>
          <w:numId w:val="3"/>
        </w:numPr>
        <w:ind w:left="708"/>
        <w:jc w:val="both"/>
        <w:rPr>
          <w:rFonts w:ascii="Times New Roman" w:hAnsi="Times New Roman" w:cs="Times New Roman"/>
          <w:shd w:val="clear" w:color="auto" w:fill="FFFFFF"/>
          <w:lang w:eastAsia="tr-TR"/>
        </w:rPr>
      </w:pPr>
      <w:r>
        <w:rPr>
          <w:rFonts w:ascii="Times New Roman" w:hAnsi="Times New Roman" w:cs="Times New Roman"/>
          <w:shd w:val="clear" w:color="auto" w:fill="FFFFFF"/>
          <w:lang w:eastAsia="tr-TR"/>
        </w:rPr>
        <w:t>İşletmenin stokları var ise, stok sayımı yapılmalı ve noksan veya fazlalıklar tespit edilip kayıtlara alınmalıdır.</w:t>
      </w:r>
    </w:p>
    <w:p w:rsidR="00A40A03" w:rsidRDefault="00A40A03" w:rsidP="00A40A03">
      <w:pPr>
        <w:pStyle w:val="ListParagraph"/>
        <w:ind w:left="708"/>
        <w:jc w:val="both"/>
        <w:rPr>
          <w:rFonts w:ascii="Times New Roman" w:hAnsi="Times New Roman" w:cs="Times New Roman"/>
          <w:shd w:val="clear" w:color="auto" w:fill="FFFFFF"/>
          <w:lang w:eastAsia="tr-TR"/>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Döviz hesapları Maliye Bakanlığınca belirlenen kurlar esas alınarak değerlenmeli ve gerekli kayıtlar yapılmalıdır.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Bankalardaki vadeli mevduat hesaplarının dönem sonu itibariyle hesaplanan faiz tutarlarının gelir kaydı, kullanılan banka kredileri ile ilgili olarak dönem sonuna kadar oluşan faiz tutarlarının ise gider kaydı atılmalıdır.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Bankalar ile mutabakat sağlanmalıdır.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Alınan - verilen çek ve senetlerin mutabakatı yapılmalıdır.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Alacak ve borç senetleri reeskonta tabi tutulabilir. Senetlerde faiz oranı belli değil ise, T.C. Merkez Bankası reeskont oranı uygulanarak kayıtlar yapılmalıdır. Yabancı para biriminden düzenlenen senetlerde ise LİBOR (Londra bankalar arası faiz oranı) dikkate alınarak reeskont hesaplanmalıdır.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Alıcı ve Satıcılarla ilgili cari hesapların mutabakatı yapılmalıdır.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Aktifte kayıtlı bulunan:</w:t>
      </w:r>
    </w:p>
    <w:p w:rsidR="00A40A03" w:rsidRDefault="00A40A03" w:rsidP="00A40A03">
      <w:pPr>
        <w:pStyle w:val="ListParagraph"/>
        <w:numPr>
          <w:ilvl w:val="0"/>
          <w:numId w:val="5"/>
        </w:numPr>
        <w:ind w:left="1068"/>
        <w:jc w:val="both"/>
        <w:rPr>
          <w:rFonts w:ascii="Times New Roman" w:hAnsi="Times New Roman" w:cs="Times New Roman"/>
          <w:shd w:val="clear" w:color="auto" w:fill="FFFFFF"/>
          <w:lang w:eastAsia="tr-TR"/>
        </w:rPr>
      </w:pPr>
      <w:r>
        <w:rPr>
          <w:rFonts w:ascii="Times New Roman" w:hAnsi="Times New Roman" w:cs="Times New Roman"/>
          <w:shd w:val="clear" w:color="auto" w:fill="FFFFFF"/>
          <w:lang w:eastAsia="tr-TR"/>
        </w:rPr>
        <w:t>Hisse senetleri,</w:t>
      </w:r>
    </w:p>
    <w:p w:rsidR="00A40A03" w:rsidRDefault="00A40A03" w:rsidP="00A40A03">
      <w:pPr>
        <w:pStyle w:val="ListParagraph"/>
        <w:numPr>
          <w:ilvl w:val="0"/>
          <w:numId w:val="5"/>
        </w:numPr>
        <w:ind w:left="1068"/>
        <w:jc w:val="both"/>
        <w:rPr>
          <w:rFonts w:ascii="Times New Roman" w:hAnsi="Times New Roman" w:cs="Times New Roman"/>
          <w:shd w:val="clear" w:color="auto" w:fill="FFFFFF"/>
          <w:lang w:eastAsia="tr-TR"/>
        </w:rPr>
      </w:pPr>
      <w:r>
        <w:rPr>
          <w:rFonts w:ascii="Times New Roman" w:hAnsi="Times New Roman" w:cs="Times New Roman"/>
          <w:shd w:val="clear" w:color="auto" w:fill="FFFFFF"/>
          <w:lang w:eastAsia="tr-TR"/>
        </w:rPr>
        <w:t>Fon portföylerinin %51’i Türkiye’de kurulu bulunan şirketlerin hisse senetlerinden oluşan yatırım fonu katılma belgeleri, alış bedeli ile değerlenmelidir.</w:t>
      </w:r>
    </w:p>
    <w:p w:rsidR="00A40A03" w:rsidRDefault="00A40A03" w:rsidP="00A40A03">
      <w:pPr>
        <w:pStyle w:val="ListParagraph"/>
        <w:numPr>
          <w:ilvl w:val="0"/>
          <w:numId w:val="5"/>
        </w:numPr>
        <w:ind w:left="1068"/>
        <w:jc w:val="both"/>
        <w:rPr>
          <w:rFonts w:ascii="Times New Roman" w:hAnsi="Times New Roman" w:cs="Times New Roman"/>
          <w:shd w:val="clear" w:color="auto" w:fill="FFFFFF"/>
          <w:lang w:eastAsia="tr-TR"/>
        </w:rPr>
      </w:pPr>
      <w:r>
        <w:rPr>
          <w:rFonts w:ascii="Times New Roman" w:hAnsi="Times New Roman" w:cs="Times New Roman"/>
          <w:shd w:val="clear" w:color="auto" w:fill="FFFFFF"/>
          <w:lang w:eastAsia="tr-TR"/>
        </w:rPr>
        <w:t>Yukarıda sayılanlar dışındaki tüm menkul kıymetler borsa rayici ile değerlendirilmelidir. Borsa rayici yoksa veya borsa rayici muvazaalı bir şekilde oluştuğu anlaşılması halinde, değerlendirmeye esas bedel, menkul kıymetin alış bedelinin vadede elde edilecek gelirin (kur farkları dahil) iktisap tarihinden değerleme gününe kadar geçen süreye ilişkin kısmı eklenmek suretiyle tespit edilmelidir.</w:t>
      </w:r>
    </w:p>
    <w:p w:rsidR="00A40A03" w:rsidRDefault="00A40A03" w:rsidP="00A40A03">
      <w:pPr>
        <w:pStyle w:val="ListParagraph"/>
        <w:numPr>
          <w:ilvl w:val="0"/>
          <w:numId w:val="5"/>
        </w:numPr>
        <w:ind w:left="1068"/>
        <w:jc w:val="both"/>
        <w:rPr>
          <w:rFonts w:ascii="Times New Roman" w:hAnsi="Times New Roman" w:cs="Times New Roman"/>
          <w:shd w:val="clear" w:color="auto" w:fill="FFFFFF"/>
          <w:lang w:eastAsia="tr-TR"/>
        </w:rPr>
      </w:pPr>
      <w:r>
        <w:rPr>
          <w:rFonts w:ascii="Times New Roman" w:hAnsi="Times New Roman" w:cs="Times New Roman"/>
          <w:shd w:val="clear" w:color="auto" w:fill="FFFFFF"/>
          <w:lang w:eastAsia="tr-TR"/>
        </w:rPr>
        <w:t>Ancak, borsa rayici bulunmayan, getirisi ihraç edenin kar ve zararına bağlı olarak doğan ve değerleme günü itibariyle hesaplanması mümkün olmayan menkul kıymetler alış bedeli ile değerlemesi yapılmalıdır.</w:t>
      </w:r>
    </w:p>
    <w:p w:rsidR="00A40A03" w:rsidRDefault="00A40A03" w:rsidP="00A40A03">
      <w:pPr>
        <w:pStyle w:val="ListParagraph"/>
        <w:ind w:left="360"/>
        <w:jc w:val="both"/>
        <w:rPr>
          <w:rFonts w:ascii="Times New Roman" w:hAnsi="Times New Roman" w:cs="Times New Roman"/>
        </w:rPr>
      </w:pPr>
    </w:p>
    <w:p w:rsidR="00A40A03" w:rsidRDefault="00A40A03" w:rsidP="00A40A03">
      <w:pPr>
        <w:pStyle w:val="ListParagraph"/>
        <w:numPr>
          <w:ilvl w:val="0"/>
          <w:numId w:val="3"/>
        </w:numPr>
        <w:ind w:left="708"/>
        <w:jc w:val="both"/>
        <w:rPr>
          <w:rFonts w:ascii="Times New Roman" w:hAnsi="Times New Roman" w:cs="Times New Roman"/>
          <w:shd w:val="clear" w:color="auto" w:fill="FFFFFF"/>
          <w:lang w:eastAsia="tr-TR"/>
        </w:rPr>
      </w:pPr>
      <w:r>
        <w:rPr>
          <w:rFonts w:ascii="Times New Roman" w:hAnsi="Times New Roman" w:cs="Times New Roman"/>
          <w:shd w:val="clear" w:color="auto" w:fill="FFFFFF"/>
          <w:lang w:eastAsia="tr-TR"/>
        </w:rPr>
        <w:t>Dava ve icra safhasına gelen alacaklar ile değersiz alacaklar için karşılık ayırılıp gider yazılmalıdır. Teminata bağlanmış alacaklar için ise karşılık ayrılmaması gerekir.</w:t>
      </w:r>
    </w:p>
    <w:p w:rsidR="00A40A03" w:rsidRDefault="00A40A03" w:rsidP="00A40A03">
      <w:pPr>
        <w:pStyle w:val="ListParagraph"/>
        <w:ind w:left="708"/>
        <w:jc w:val="both"/>
        <w:rPr>
          <w:rFonts w:ascii="Times New Roman" w:hAnsi="Times New Roman" w:cs="Times New Roman"/>
          <w:shd w:val="clear" w:color="auto" w:fill="FFFFFF"/>
          <w:lang w:eastAsia="tr-TR"/>
        </w:rPr>
      </w:pPr>
    </w:p>
    <w:p w:rsidR="00A40A03" w:rsidRDefault="00A40A03" w:rsidP="00A40A03">
      <w:pPr>
        <w:pStyle w:val="ListParagraph"/>
        <w:numPr>
          <w:ilvl w:val="0"/>
          <w:numId w:val="3"/>
        </w:numPr>
        <w:ind w:left="708"/>
        <w:jc w:val="both"/>
        <w:rPr>
          <w:rFonts w:ascii="Times New Roman" w:hAnsi="Times New Roman" w:cs="Times New Roman"/>
          <w:shd w:val="clear" w:color="auto" w:fill="FFFFFF"/>
          <w:lang w:eastAsia="tr-TR"/>
        </w:rPr>
      </w:pPr>
      <w:r>
        <w:rPr>
          <w:rFonts w:ascii="Times New Roman" w:hAnsi="Times New Roman" w:cs="Times New Roman"/>
          <w:lang w:eastAsia="tr-TR"/>
        </w:rPr>
        <w:t>Ortaklara verilen borçlara adat hesaplanıp;</w:t>
      </w:r>
    </w:p>
    <w:p w:rsidR="00A40A03" w:rsidRDefault="00A40A03" w:rsidP="00A40A03">
      <w:pPr>
        <w:pStyle w:val="ListParagraph"/>
        <w:numPr>
          <w:ilvl w:val="0"/>
          <w:numId w:val="5"/>
        </w:numPr>
        <w:ind w:left="1068"/>
        <w:jc w:val="both"/>
        <w:rPr>
          <w:rFonts w:ascii="Times New Roman" w:hAnsi="Times New Roman" w:cs="Times New Roman"/>
          <w:shd w:val="clear" w:color="auto" w:fill="FFFFFF"/>
          <w:lang w:eastAsia="tr-TR"/>
        </w:rPr>
      </w:pPr>
      <w:r>
        <w:rPr>
          <w:rFonts w:ascii="Times New Roman" w:hAnsi="Times New Roman" w:cs="Times New Roman"/>
          <w:shd w:val="clear" w:color="auto" w:fill="FFFFFF"/>
          <w:lang w:eastAsia="tr-TR"/>
        </w:rPr>
        <w:t>Şirket kredi kullanmışsa kredi faiz oranı,</w:t>
      </w:r>
    </w:p>
    <w:p w:rsidR="00A40A03" w:rsidRDefault="00A40A03" w:rsidP="00A40A03">
      <w:pPr>
        <w:pStyle w:val="ListParagraph"/>
        <w:numPr>
          <w:ilvl w:val="0"/>
          <w:numId w:val="5"/>
        </w:numPr>
        <w:ind w:left="1068"/>
        <w:jc w:val="both"/>
        <w:rPr>
          <w:rFonts w:ascii="Times New Roman" w:hAnsi="Times New Roman" w:cs="Times New Roman"/>
          <w:shd w:val="clear" w:color="auto" w:fill="FFFFFF"/>
          <w:lang w:eastAsia="tr-TR"/>
        </w:rPr>
      </w:pPr>
      <w:r>
        <w:rPr>
          <w:rFonts w:ascii="Times New Roman" w:hAnsi="Times New Roman" w:cs="Times New Roman"/>
          <w:shd w:val="clear" w:color="auto" w:fill="FFFFFF"/>
          <w:lang w:eastAsia="tr-TR"/>
        </w:rPr>
        <w:t>Kullanmamışsa reeskont oranı, üzerinden faiz hesaplanıp fatura düzenlenmeli ve %18 KDV uygulanmalıdır.</w:t>
      </w:r>
    </w:p>
    <w:p w:rsidR="00A40A03" w:rsidRDefault="00A40A03" w:rsidP="00A40A03">
      <w:pPr>
        <w:pStyle w:val="ListParagraph"/>
        <w:ind w:left="1068"/>
        <w:jc w:val="both"/>
        <w:rPr>
          <w:rFonts w:ascii="Times New Roman" w:hAnsi="Times New Roman" w:cs="Times New Roman"/>
          <w:shd w:val="clear" w:color="auto" w:fill="FFFFFF"/>
          <w:lang w:eastAsia="tr-TR"/>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lastRenderedPageBreak/>
        <w:t>Yıl içinde amortismana tabi iktisadi kıymet alınmışsa, bunların alımıyla ilgili olarak yılın sonuna kadar oluşan kredi faizi, kur farkı, vade farkı vs. giderler ilgili iktisadi kıymetin maliyetine eklenmelidir.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Yıl içinde alınan binek otomobillere kıst amortisman uygulanmış olmasına dikkat edilmelidir.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Peşin ödenen giderler hesaplarının içinde 2016 yılına ilişkin olan tutarların alınıp cari yıl giderlerine atılması gerekmektedir.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Peşin tahsil edilen gelirler hesabında bulunan ve 2016 yılı geliri olan tutarlar bu hesaptan alınarak cari dönem hasılatına eklenmelidir.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Yıllık beyannameye eklenmek üzere, yıl içinde tevkif yolu ile ödenen vergilerle ilgili olarak, tevkifat yapan kurum ve kuruluşlardan yazılar alınmalıdır.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Dönem içinde 193 Peşin Ödenen Vergi ve Fonlar hesabının borcuna yazılan tutar 371 Dönem Karının Peşin Ödenen Vergi ve Diğer Yükümlülükleri hesabının borcuna aktarılır. Bu tutar, kurumlar vergisi tutarını aşamaz.</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Maliyet hesaplarında bulunan giderler hesap dönemi sonunda yansıtma hesapları yolu ile ilgili gelir tablosu hesaplarına yansıtılır.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Dönem giderleri ile ilgili yansıtma kayıtları yapılarak, gelir ve gider hesaplarının tamamı dönem kar veya zarar hesabına aktarılmalıdır.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2016 yılına ilişkin olup, kurumlar vergisi beyannamesi verilene kadar gelen gider faturalarının KDV tutarları ile birlikte 2017 yılı kanuni defter kayıtlarına geçmiş yıl gideri olarak kaydedilip, kurumlar vergisi beyannamesinde bu fatura toplamları diğer indirimler sütununda gösterilerek matrahtan indirilmesi sağlanmalıdır.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2015 yılına ilişkin olup 2016 yılı kayıtlarına alınan geç gelen fatura bedelleri, 2015 yılı kurum kazancından beyanname üzerinden indirilmiş olacağından, bu tutarların 2016 yılı beyanı sırasında kanunen kabul edilmeyen gider olarak kumum kazancına eklenmesi unutulmamalıdır.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2016 yılı vergilendirme dönemine ilişkin kurum kazancının beyanı sırasında, kurum kazancından indirilen ve eski hükümlere tabi tutulan yatırım indirimi istisna tutarı üzerinden en geç kurumlar vergisi beyannamesinin verileceği ay içinde, %19,8 oranında gelir vergisi kesintisi yapılmalı ve buna ilişkin muhtasar beyanname ertesi ayın 23. günü akşamına kadar verilip 26.günü akşamına kadar ödenmelidir.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2016 yılı vergilendirme dönemine ilişkin kurum kazancının beyanı sırasında, kurum kazancından indirilen emeklilik yatırım fonlarının kazançları dışında kalan ve Kurumlar Vergisi Kanunu’nun 5/1-d maddesinde yazılı fon ve portföy kazançları üzerinden en geç kurumlar vergisi kesintisi yapılmalı ve buna ilişkin muhtasar beyanname ertesi ayın 23. günü akşamına kadar verilip 26. günü akşamına kadar ödenmelidir.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2016 yılı kurum kazancından personele temettü ikramiyesi verilmesi planlanıyor ve bu kazanç 2016 kurum kazancı ile ilişkilendirilmek isteniyor ise, kurumlar vergisi beyannamesi verilmesinden önce karar alınmalıdır.</w:t>
      </w:r>
    </w:p>
    <w:p w:rsidR="00A40A03" w:rsidRDefault="00A40A03" w:rsidP="00A40A03">
      <w:pPr>
        <w:pStyle w:val="NormalWeb"/>
        <w:shd w:val="clear" w:color="auto" w:fill="FFFFFF"/>
        <w:spacing w:before="0" w:line="240" w:lineRule="auto"/>
        <w:ind w:left="708"/>
        <w:jc w:val="both"/>
        <w:rPr>
          <w:rFonts w:ascii="Times New Roman" w:hAnsi="Times New Roman" w:cs="Times New Roman"/>
          <w:sz w:val="22"/>
          <w:szCs w:val="22"/>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Sigorta şirketleri tarafından 2016 yılında ayrılarak gider kaydedilen muallak hasar karşılıkları, kazanılmamış prim karşılıkları ve hayat matematik karşılıkları ile denge karşılıkları 2017 yılı açılış kaydından sonra, kar hesabına aktarılmalıdır.</w:t>
      </w:r>
    </w:p>
    <w:p w:rsidR="00A40A03" w:rsidRDefault="00A40A03" w:rsidP="00A40A03">
      <w:pPr>
        <w:pStyle w:val="ListParagraph"/>
        <w:ind w:left="360"/>
        <w:jc w:val="both"/>
        <w:rPr>
          <w:rFonts w:ascii="Times New Roman" w:hAnsi="Times New Roman" w:cs="Times New Roman"/>
        </w:rPr>
      </w:pPr>
    </w:p>
    <w:p w:rsidR="00A40A03" w:rsidRDefault="00A40A03" w:rsidP="00A40A03">
      <w:pPr>
        <w:pStyle w:val="ListParagraph"/>
        <w:numPr>
          <w:ilvl w:val="0"/>
          <w:numId w:val="3"/>
        </w:numPr>
        <w:ind w:left="708"/>
        <w:jc w:val="both"/>
        <w:rPr>
          <w:rFonts w:ascii="Times New Roman" w:hAnsi="Times New Roman" w:cs="Times New Roman"/>
          <w:shd w:val="clear" w:color="auto" w:fill="FFFFFF"/>
          <w:lang w:eastAsia="tr-TR"/>
        </w:rPr>
      </w:pPr>
      <w:r>
        <w:rPr>
          <w:rFonts w:ascii="Times New Roman" w:hAnsi="Times New Roman" w:cs="Times New Roman"/>
          <w:shd w:val="clear" w:color="auto" w:fill="FFFFFF"/>
          <w:lang w:eastAsia="tr-TR"/>
        </w:rPr>
        <w:lastRenderedPageBreak/>
        <w:t>2016 yılı kanuni defterlerinin tamamının yazdırılma işi bir an önce tamamlanmalıdır.</w:t>
      </w:r>
    </w:p>
    <w:p w:rsidR="00A40A03" w:rsidRDefault="00A40A03" w:rsidP="00A40A03">
      <w:pPr>
        <w:pStyle w:val="ListParagraph"/>
        <w:ind w:left="360"/>
        <w:jc w:val="both"/>
        <w:rPr>
          <w:rFonts w:ascii="Times New Roman" w:hAnsi="Times New Roman" w:cs="Times New Roman"/>
          <w:shd w:val="clear" w:color="auto" w:fill="FFFFFF"/>
          <w:lang w:eastAsia="tr-TR"/>
        </w:rPr>
      </w:pPr>
    </w:p>
    <w:p w:rsidR="00A40A03" w:rsidRDefault="00A40A03" w:rsidP="00A40A03">
      <w:pPr>
        <w:pStyle w:val="ListParagraph"/>
        <w:numPr>
          <w:ilvl w:val="0"/>
          <w:numId w:val="3"/>
        </w:numPr>
        <w:ind w:left="708"/>
        <w:jc w:val="both"/>
        <w:rPr>
          <w:rFonts w:ascii="Times New Roman" w:hAnsi="Times New Roman" w:cs="Times New Roman"/>
          <w:shd w:val="clear" w:color="auto" w:fill="FFFFFF"/>
          <w:lang w:eastAsia="tr-TR"/>
        </w:rPr>
      </w:pPr>
      <w:r>
        <w:rPr>
          <w:rFonts w:ascii="Times New Roman" w:hAnsi="Times New Roman" w:cs="Times New Roman"/>
        </w:rPr>
        <w:t>Motorlu Taşıtlar Vergisinin ilk taksiti 2017 Ocak ayı içerisinde ödenmelidir.</w:t>
      </w:r>
    </w:p>
    <w:p w:rsidR="00A40A03" w:rsidRDefault="00A40A03" w:rsidP="00A40A03">
      <w:pPr>
        <w:pStyle w:val="ListParagraph"/>
        <w:ind w:left="708"/>
        <w:jc w:val="both"/>
        <w:rPr>
          <w:rFonts w:ascii="Times New Roman" w:hAnsi="Times New Roman" w:cs="Times New Roman"/>
          <w:shd w:val="clear" w:color="auto" w:fill="FFFFFF"/>
          <w:lang w:eastAsia="tr-TR"/>
        </w:rPr>
      </w:pPr>
    </w:p>
    <w:p w:rsidR="00A40A03" w:rsidRDefault="00A40A03" w:rsidP="00A40A03">
      <w:pPr>
        <w:pStyle w:val="NormalWeb"/>
        <w:numPr>
          <w:ilvl w:val="0"/>
          <w:numId w:val="3"/>
        </w:numPr>
        <w:shd w:val="clear" w:color="auto" w:fill="FFFFFF"/>
        <w:spacing w:before="0" w:line="240" w:lineRule="auto"/>
        <w:ind w:left="708"/>
        <w:jc w:val="both"/>
        <w:rPr>
          <w:rFonts w:ascii="Times New Roman" w:hAnsi="Times New Roman" w:cs="Times New Roman"/>
          <w:sz w:val="22"/>
          <w:szCs w:val="22"/>
        </w:rPr>
      </w:pPr>
      <w:r>
        <w:rPr>
          <w:rFonts w:ascii="Times New Roman" w:hAnsi="Times New Roman" w:cs="Times New Roman"/>
          <w:sz w:val="22"/>
          <w:szCs w:val="22"/>
        </w:rPr>
        <w:t>İmtiyazname ve ruhsatname almış olan kurumların Harçlar Kanunu’na ekli 8 sayılı tarifede yer verilen ve yıllık olarak ödenmesi gereken harçlar 2017 yılı Ocak ayı içerisinde ödenmelidir.</w:t>
      </w:r>
    </w:p>
    <w:p w:rsidR="00A40A03" w:rsidRDefault="00A40A03" w:rsidP="00A40A03">
      <w:pPr>
        <w:pStyle w:val="NormalWeb"/>
        <w:shd w:val="clear" w:color="auto" w:fill="FFFFFF"/>
        <w:spacing w:before="0" w:line="240" w:lineRule="auto"/>
        <w:jc w:val="both"/>
        <w:rPr>
          <w:rFonts w:ascii="Times New Roman" w:hAnsi="Times New Roman" w:cs="Times New Roman"/>
          <w:sz w:val="22"/>
          <w:szCs w:val="22"/>
        </w:rPr>
      </w:pPr>
    </w:p>
    <w:p w:rsidR="002F1FCB" w:rsidRDefault="00A40A03" w:rsidP="00A40A03">
      <w:r>
        <w:rPr>
          <w:rFonts w:ascii="Times New Roman" w:hAnsi="Times New Roman" w:cs="Times New Roman"/>
        </w:rPr>
        <w:t>Elektronik defter uygulamasında defterler aylık dönemler itibarıyla tutulacağından dolayı, zorunluluk kapsamına giren mükelleflerin 2016 Aralık ayı içerisinde başvurmaları durumunda, 2016 Aralık döneminin defterlerini aylık olarak oluşturamayacaklarını; ayrıca elektronik defter uygulamasına 2016 Aralık ayı içerisinde başvuranların 1 Ocak 2017 tarihinden itibaren e- defter tutmaya başlamaları gerekmektedir.</w:t>
      </w:r>
      <w:bookmarkStart w:id="0" w:name="_GoBack"/>
      <w:bookmarkEnd w:id="0"/>
    </w:p>
    <w:sectPr w:rsidR="002F1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080"/>
    <w:multiLevelType w:val="hybridMultilevel"/>
    <w:tmpl w:val="A48646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6DB37F0"/>
    <w:multiLevelType w:val="hybridMultilevel"/>
    <w:tmpl w:val="86CE24FC"/>
    <w:lvl w:ilvl="0" w:tplc="041F0003">
      <w:start w:val="1"/>
      <w:numFmt w:val="bullet"/>
      <w:lvlText w:val="o"/>
      <w:lvlJc w:val="left"/>
      <w:pPr>
        <w:ind w:left="1428" w:hanging="360"/>
      </w:pPr>
      <w:rPr>
        <w:rFonts w:ascii="Courier New" w:hAnsi="Courier New" w:cs="Courier New" w:hint="default"/>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2" w15:restartNumberingAfterBreak="0">
    <w:nsid w:val="1A6F5358"/>
    <w:multiLevelType w:val="hybridMultilevel"/>
    <w:tmpl w:val="47BC6940"/>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3" w15:restartNumberingAfterBreak="0">
    <w:nsid w:val="514E58F6"/>
    <w:multiLevelType w:val="hybridMultilevel"/>
    <w:tmpl w:val="492C9B42"/>
    <w:lvl w:ilvl="0" w:tplc="041F0003">
      <w:start w:val="1"/>
      <w:numFmt w:val="bullet"/>
      <w:lvlText w:val="o"/>
      <w:lvlJc w:val="left"/>
      <w:pPr>
        <w:ind w:left="2148" w:hanging="360"/>
      </w:pPr>
      <w:rPr>
        <w:rFonts w:ascii="Courier New" w:hAnsi="Courier New" w:cs="Courier New" w:hint="default"/>
      </w:rPr>
    </w:lvl>
    <w:lvl w:ilvl="1" w:tplc="041F0003">
      <w:start w:val="1"/>
      <w:numFmt w:val="bullet"/>
      <w:lvlText w:val="o"/>
      <w:lvlJc w:val="left"/>
      <w:pPr>
        <w:ind w:left="2868" w:hanging="360"/>
      </w:pPr>
      <w:rPr>
        <w:rFonts w:ascii="Courier New" w:hAnsi="Courier New" w:cs="Courier New" w:hint="default"/>
      </w:rPr>
    </w:lvl>
    <w:lvl w:ilvl="2" w:tplc="041F0005">
      <w:start w:val="1"/>
      <w:numFmt w:val="bullet"/>
      <w:lvlText w:val=""/>
      <w:lvlJc w:val="left"/>
      <w:pPr>
        <w:ind w:left="3588" w:hanging="360"/>
      </w:pPr>
      <w:rPr>
        <w:rFonts w:ascii="Wingdings" w:hAnsi="Wingdings" w:hint="default"/>
      </w:rPr>
    </w:lvl>
    <w:lvl w:ilvl="3" w:tplc="041F0001">
      <w:start w:val="1"/>
      <w:numFmt w:val="bullet"/>
      <w:lvlText w:val=""/>
      <w:lvlJc w:val="left"/>
      <w:pPr>
        <w:ind w:left="4308" w:hanging="360"/>
      </w:pPr>
      <w:rPr>
        <w:rFonts w:ascii="Symbol" w:hAnsi="Symbol" w:hint="default"/>
      </w:rPr>
    </w:lvl>
    <w:lvl w:ilvl="4" w:tplc="041F0003">
      <w:start w:val="1"/>
      <w:numFmt w:val="bullet"/>
      <w:lvlText w:val="o"/>
      <w:lvlJc w:val="left"/>
      <w:pPr>
        <w:ind w:left="5028" w:hanging="360"/>
      </w:pPr>
      <w:rPr>
        <w:rFonts w:ascii="Courier New" w:hAnsi="Courier New" w:cs="Courier New" w:hint="default"/>
      </w:rPr>
    </w:lvl>
    <w:lvl w:ilvl="5" w:tplc="041F0005">
      <w:start w:val="1"/>
      <w:numFmt w:val="bullet"/>
      <w:lvlText w:val=""/>
      <w:lvlJc w:val="left"/>
      <w:pPr>
        <w:ind w:left="5748" w:hanging="360"/>
      </w:pPr>
      <w:rPr>
        <w:rFonts w:ascii="Wingdings" w:hAnsi="Wingdings" w:hint="default"/>
      </w:rPr>
    </w:lvl>
    <w:lvl w:ilvl="6" w:tplc="041F0001">
      <w:start w:val="1"/>
      <w:numFmt w:val="bullet"/>
      <w:lvlText w:val=""/>
      <w:lvlJc w:val="left"/>
      <w:pPr>
        <w:ind w:left="6468" w:hanging="360"/>
      </w:pPr>
      <w:rPr>
        <w:rFonts w:ascii="Symbol" w:hAnsi="Symbol" w:hint="default"/>
      </w:rPr>
    </w:lvl>
    <w:lvl w:ilvl="7" w:tplc="041F0003">
      <w:start w:val="1"/>
      <w:numFmt w:val="bullet"/>
      <w:lvlText w:val="o"/>
      <w:lvlJc w:val="left"/>
      <w:pPr>
        <w:ind w:left="7188" w:hanging="360"/>
      </w:pPr>
      <w:rPr>
        <w:rFonts w:ascii="Courier New" w:hAnsi="Courier New" w:cs="Courier New" w:hint="default"/>
      </w:rPr>
    </w:lvl>
    <w:lvl w:ilvl="8" w:tplc="041F0005">
      <w:start w:val="1"/>
      <w:numFmt w:val="bullet"/>
      <w:lvlText w:val=""/>
      <w:lvlJc w:val="left"/>
      <w:pPr>
        <w:ind w:left="7908" w:hanging="360"/>
      </w:pPr>
      <w:rPr>
        <w:rFonts w:ascii="Wingdings" w:hAnsi="Wingdings" w:hint="default"/>
      </w:rPr>
    </w:lvl>
  </w:abstractNum>
  <w:abstractNum w:abstractNumId="4" w15:restartNumberingAfterBreak="0">
    <w:nsid w:val="61FD7367"/>
    <w:multiLevelType w:val="hybridMultilevel"/>
    <w:tmpl w:val="C74AFD80"/>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03"/>
    <w:rsid w:val="00090372"/>
    <w:rsid w:val="00A40A03"/>
    <w:rsid w:val="00E51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23B93-1F4B-42E1-BB6E-A7FF7D5F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40A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A03"/>
    <w:pPr>
      <w:spacing w:before="195" w:line="225" w:lineRule="atLeast"/>
    </w:pPr>
    <w:rPr>
      <w:rFonts w:ascii="Arial" w:hAnsi="Arial" w:cs="Arial"/>
      <w:sz w:val="20"/>
      <w:szCs w:val="20"/>
      <w:lang w:eastAsia="tr-TR"/>
    </w:rPr>
  </w:style>
  <w:style w:type="paragraph" w:styleId="ListParagraph">
    <w:name w:val="List Paragraph"/>
    <w:basedOn w:val="Normal"/>
    <w:uiPriority w:val="34"/>
    <w:qFormat/>
    <w:rsid w:val="00A40A03"/>
    <w:pPr>
      <w:ind w:left="720"/>
      <w:contextualSpacing/>
    </w:pPr>
  </w:style>
  <w:style w:type="paragraph" w:customStyle="1" w:styleId="2-OrtaBaslk">
    <w:name w:val="2-Orta Baslık"/>
    <w:basedOn w:val="Normal"/>
    <w:uiPriority w:val="99"/>
    <w:semiHidden/>
    <w:rsid w:val="00A40A03"/>
    <w:pPr>
      <w:jc w:val="center"/>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69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1</cp:revision>
  <dcterms:created xsi:type="dcterms:W3CDTF">2016-12-05T12:20:00Z</dcterms:created>
  <dcterms:modified xsi:type="dcterms:W3CDTF">2016-12-05T12:22:00Z</dcterms:modified>
</cp:coreProperties>
</file>