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F3" w:rsidRDefault="00E975F3" w:rsidP="00E975F3">
      <w:pPr>
        <w:jc w:val="both"/>
        <w:rPr>
          <w:rFonts w:ascii="Times New Roman" w:hAnsi="Times New Roman" w:cs="Times New Roman"/>
          <w:b/>
          <w:bCs/>
          <w:color w:val="548DD4"/>
          <w:sz w:val="26"/>
          <w:szCs w:val="26"/>
        </w:rPr>
      </w:pPr>
      <w:r>
        <w:rPr>
          <w:rFonts w:ascii="Times New Roman" w:hAnsi="Times New Roman" w:cs="Times New Roman"/>
          <w:b/>
          <w:bCs/>
          <w:color w:val="548DD4"/>
          <w:sz w:val="26"/>
          <w:szCs w:val="26"/>
        </w:rPr>
        <w:t>Varlık Barışı Tebliği</w:t>
      </w:r>
    </w:p>
    <w:p w:rsidR="00E975F3" w:rsidRDefault="00E975F3" w:rsidP="00E975F3">
      <w:pPr>
        <w:jc w:val="both"/>
        <w:rPr>
          <w:rFonts w:ascii="Times New Roman" w:hAnsi="Times New Roman" w:cs="Times New Roman"/>
        </w:rPr>
      </w:pPr>
    </w:p>
    <w:p w:rsidR="00E975F3" w:rsidRDefault="00E975F3" w:rsidP="00E975F3">
      <w:pPr>
        <w:jc w:val="both"/>
        <w:rPr>
          <w:rFonts w:ascii="Times New Roman" w:hAnsi="Times New Roman" w:cs="Times New Roman"/>
        </w:rPr>
      </w:pPr>
      <w:r>
        <w:rPr>
          <w:rFonts w:ascii="Times New Roman" w:hAnsi="Times New Roman" w:cs="Times New Roman"/>
        </w:rPr>
        <w:t xml:space="preserve">02.10.2016 tarihli Resmi Gazete’de 4 No’lu </w:t>
      </w:r>
      <w:r>
        <w:rPr>
          <w:rFonts w:ascii="Times New Roman" w:hAnsi="Times New Roman" w:cs="Times New Roman"/>
          <w:i/>
          <w:iCs/>
        </w:rPr>
        <w:t xml:space="preserve">Bazı Alacakların Yeniden Yapılandırılmasına İlişkin 6736 Sayılı Kanun Genel Tebliği </w:t>
      </w:r>
      <w:r>
        <w:rPr>
          <w:rFonts w:ascii="Times New Roman" w:hAnsi="Times New Roman" w:cs="Times New Roman"/>
        </w:rPr>
        <w:t>yayımlanmış ve yürürlüğe girmiştir. Varlık Barışı’na ilişkin Kanun ve Tebliğler ile yapılan tüm açıklamalar aşağıdaki gibidir:</w:t>
      </w:r>
    </w:p>
    <w:p w:rsidR="00E975F3" w:rsidRDefault="00E975F3" w:rsidP="00E975F3">
      <w:pPr>
        <w:jc w:val="both"/>
        <w:rPr>
          <w:rFonts w:ascii="Times New Roman" w:hAnsi="Times New Roman" w:cs="Times New Roman"/>
        </w:rPr>
      </w:pPr>
    </w:p>
    <w:p w:rsidR="00E975F3" w:rsidRDefault="00E975F3" w:rsidP="00E975F3">
      <w:pPr>
        <w:jc w:val="both"/>
        <w:rPr>
          <w:rFonts w:ascii="Times New Roman" w:hAnsi="Times New Roman" w:cs="Times New Roman"/>
          <w:b/>
          <w:bCs/>
        </w:rPr>
      </w:pPr>
      <w:r>
        <w:rPr>
          <w:rFonts w:ascii="Times New Roman" w:hAnsi="Times New Roman" w:cs="Times New Roman"/>
          <w:b/>
          <w:bCs/>
        </w:rPr>
        <w:t>Bildirim</w:t>
      </w:r>
    </w:p>
    <w:p w:rsidR="00E975F3" w:rsidRDefault="00E975F3" w:rsidP="00E975F3">
      <w:pPr>
        <w:jc w:val="both"/>
        <w:rPr>
          <w:rFonts w:ascii="Times New Roman" w:hAnsi="Times New Roman" w:cs="Times New Roman"/>
          <w:b/>
          <w:bCs/>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Bildirim yapılacak kıymetler yurt dışında bulunan para, altın, döviz, menkul kıymet ve diğer sermaye piyasası araçları olup bu varlıklara yurt dışında hangi tarih itibarıyla sahip olunduğunun anılan madde hükmünden yararlanılması açısından herhangi bir önemi bulunmamaktadır.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P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Bildirim yapılamayacak kıymetlerin satılıp bildirimi yapılabilecek varlığa dönüştürülerek madde hükmünden yararlanılması mümkündür.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Yurt dışında bulunan para, altın, döviz, menkul kıymet ve diğer sermaye piyasası araçları, Türkiye’deki banka veya aracı kurumlarda </w:t>
      </w:r>
      <w:r>
        <w:rPr>
          <w:rFonts w:ascii="Times New Roman" w:eastAsia="Times New Roman" w:hAnsi="Times New Roman" w:cs="Times New Roman"/>
          <w:color w:val="000000"/>
          <w:u w:val="single"/>
          <w:lang w:eastAsia="tr-TR"/>
        </w:rPr>
        <w:t>mevcut ya da yeni</w:t>
      </w:r>
      <w:r>
        <w:rPr>
          <w:rFonts w:ascii="Times New Roman" w:eastAsia="Times New Roman" w:hAnsi="Times New Roman" w:cs="Times New Roman"/>
          <w:color w:val="000000"/>
          <w:lang w:eastAsia="tr-TR"/>
        </w:rPr>
        <w:t xml:space="preserve"> açılacak bir hesaba transfer edilebilecek veya fiziki olarak Türkiye’ye getirilebilecektir.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Türkiye’ye getirilmekten maksat; </w:t>
      </w:r>
    </w:p>
    <w:p w:rsidR="00E975F3" w:rsidRDefault="00E975F3" w:rsidP="00E975F3">
      <w:pPr>
        <w:numPr>
          <w:ilvl w:val="1"/>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Para, döviz, altın, menkul kıymet ve diğer sermaye piyasası araçlarının fiziki olarak Türkiye’ye getirilmesi veya bu varlıkların Türkiye’deki banka veya aracı kurumlarda açılacak bir hesaba transfer edilmesi ya da</w:t>
      </w:r>
    </w:p>
    <w:p w:rsidR="00E975F3" w:rsidRDefault="00E975F3" w:rsidP="00E975F3">
      <w:pPr>
        <w:numPr>
          <w:ilvl w:val="1"/>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Menkul kıymet ve diğer sermaye piyasası araçlarının aracı kurumlara bildirilmesidir.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Bildirim ve beyan ekli form ile yapılacaktır. </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Tevsik edici belge olarak banka dekontu, aracı kurum işlem sonuç formları ekstre, makbuz gibi kullanılacaktır. Yurt dışında bulunan söz konusu varlıkların Türkiye’ye fiziki olarak getirilmesi sırasında yapılan deklarasyon/bildirime istinaden Gümrük İdaresinden alınan belgeler, varlıkların Türkiye’ye getirilmiş olduğunun tevsikinde kullanılabilecektir. Bildirimi yapılan menkul kıymet ve diğer sermaye piyasası araçlarının bildirilmesinde, yurt dışındaki ilgili kurum veya kuruluştan alınacak dekont, ekstre, makbuz gibi tevsik edici belgeler kullanabilecek, b</w:t>
      </w:r>
      <w:r>
        <w:rPr>
          <w:rFonts w:ascii="Times New Roman" w:eastAsia="Times New Roman" w:hAnsi="Times New Roman" w:cs="Times New Roman"/>
          <w:color w:val="000000"/>
          <w:lang w:eastAsia="tr-TR"/>
        </w:rPr>
        <w:t>u belgeler Form’a eklenecektir.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Şirketlerin, kanuni temsilcileri, ortakları veya 19.08.2016 tarihinden önce yetkili kuruluşlarca düzenlenmiş bir vekalet veya temsil sözleşmesi olmak koşuluyla vekilleri aracılığıyla yurt dışında değerlendirdikleri kendilerine ait varlıkları, madde kapsamında Türkiye’ye getirme imkanları bulunmaktadır.</w:t>
      </w:r>
    </w:p>
    <w:p w:rsidR="00E975F3" w:rsidRDefault="00E975F3" w:rsidP="00E975F3">
      <w:pPr>
        <w:shd w:val="clear" w:color="auto" w:fill="FFFFFF"/>
        <w:jc w:val="both"/>
        <w:rPr>
          <w:rFonts w:ascii="Times New Roman" w:hAnsi="Times New Roman" w:cs="Times New Roman"/>
          <w:color w:val="000000"/>
          <w:lang w:eastAsia="tr-TR"/>
        </w:rPr>
      </w:pPr>
    </w:p>
    <w:p w:rsidR="00E975F3" w:rsidRDefault="00E975F3" w:rsidP="00E975F3">
      <w:pPr>
        <w:jc w:val="both"/>
        <w:rPr>
          <w:rFonts w:ascii="Times New Roman" w:hAnsi="Times New Roman" w:cs="Times New Roman"/>
          <w:b/>
          <w:bCs/>
        </w:rPr>
      </w:pPr>
      <w:r>
        <w:rPr>
          <w:rFonts w:ascii="Times New Roman" w:hAnsi="Times New Roman" w:cs="Times New Roman"/>
          <w:b/>
          <w:bCs/>
        </w:rPr>
        <w:t>Vergilendirme</w:t>
      </w:r>
    </w:p>
    <w:p w:rsidR="00E975F3" w:rsidRDefault="00E975F3" w:rsidP="00E975F3">
      <w:pPr>
        <w:jc w:val="both"/>
        <w:rPr>
          <w:rFonts w:ascii="Times New Roman" w:hAnsi="Times New Roman" w:cs="Times New Roman"/>
          <w:b/>
          <w:bCs/>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Varlıkların Türkiye’ye getirilmesinde herhangi bir vergi ödenmeyecektir.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Yurt dışında bulunan para, altın, döviz, menkul kıymet ve diğer sermaye piyasası araçları, </w:t>
      </w:r>
      <w:r>
        <w:rPr>
          <w:rFonts w:ascii="Times New Roman" w:eastAsia="Times New Roman" w:hAnsi="Times New Roman" w:cs="Times New Roman"/>
          <w:color w:val="000000"/>
          <w:u w:val="single"/>
          <w:lang w:eastAsia="tr-TR"/>
        </w:rPr>
        <w:t>Türkiye’ye getirildiği veya bildirildiği tarih itibarıyla</w:t>
      </w:r>
      <w:r>
        <w:rPr>
          <w:rFonts w:ascii="Times New Roman" w:eastAsia="Times New Roman" w:hAnsi="Times New Roman" w:cs="Times New Roman"/>
          <w:color w:val="000000"/>
          <w:lang w:eastAsia="tr-TR"/>
        </w:rPr>
        <w:t xml:space="preserve"> değerlenecektir. Değerleme varsa borsa rayiciyle, borsa rayici yoksa rayiç bedeliyle, bu bedel tespit edilemiyorsa alış bedeliyle, alış bedeli de belli değilse itibari (nominal) değeriyle yapılacaktır. </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Pr="00E975F3" w:rsidRDefault="00E975F3" w:rsidP="00E163A5">
      <w:pPr>
        <w:numPr>
          <w:ilvl w:val="0"/>
          <w:numId w:val="1"/>
        </w:numPr>
        <w:shd w:val="clear" w:color="auto" w:fill="FFFFFF"/>
        <w:jc w:val="both"/>
        <w:rPr>
          <w:rFonts w:ascii="Times New Roman" w:hAnsi="Times New Roman" w:cs="Times New Roman"/>
          <w:b/>
          <w:bCs/>
          <w:color w:val="000000"/>
          <w:lang w:eastAsia="tr-TR"/>
        </w:rPr>
      </w:pPr>
      <w:r w:rsidRPr="00E975F3">
        <w:rPr>
          <w:rFonts w:ascii="Times New Roman" w:eastAsia="Times New Roman" w:hAnsi="Times New Roman" w:cs="Times New Roman"/>
          <w:color w:val="000000"/>
          <w:lang w:eastAsia="tr-TR"/>
        </w:rPr>
        <w:t xml:space="preserve">Bu çerçevede, yurt dışında bulunan menkul kıymetin Türkiye’ye getirildiği ya da bildirildiği tarihteki fiyatının bu kıymetin maliyetini oluşturacağını düşünüyoruz. Dolayısıyla bu kıymetin ileri bir tarihte satışından elde edilecek değer artış kazancı hesabında bu maliyetin bildirim/getirme günü kuru (Türkiye Cumhuriyet Merkez Bankası döviz alış kuru) ile dikkate alınmasının ve bu şekilde maliyetin kur ve fiyat ile  güncellenmesinin mümkün olduğu </w:t>
      </w:r>
      <w:r w:rsidRPr="00E975F3">
        <w:rPr>
          <w:rFonts w:ascii="Times New Roman" w:eastAsia="Times New Roman" w:hAnsi="Times New Roman" w:cs="Times New Roman"/>
          <w:color w:val="000000"/>
          <w:lang w:eastAsia="tr-TR"/>
        </w:rPr>
        <w:lastRenderedPageBreak/>
        <w:t>görüşündeyiz. Bununla beraber, Kanun’da bununla ilgili bir düzenleme olmadığından menkul kıymet ve diğer sermaye piyasası araçları yönünden bu madde hükmünden faydalanılacak olması halinde konunun değe</w:t>
      </w:r>
      <w:r w:rsidRPr="00E975F3">
        <w:rPr>
          <w:rFonts w:ascii="Times New Roman" w:eastAsia="Times New Roman" w:hAnsi="Times New Roman" w:cs="Times New Roman"/>
          <w:color w:val="000000"/>
          <w:lang w:eastAsia="tr-TR"/>
        </w:rPr>
        <w:t>rlendirilmesi uygun olacaktır.</w:t>
      </w:r>
    </w:p>
    <w:p w:rsidR="00E975F3" w:rsidRDefault="00E975F3" w:rsidP="00E975F3">
      <w:pPr>
        <w:shd w:val="clear" w:color="auto" w:fill="FFFFFF"/>
        <w:jc w:val="both"/>
        <w:rPr>
          <w:rFonts w:ascii="Times New Roman" w:hAnsi="Times New Roman" w:cs="Times New Roman"/>
          <w:b/>
          <w:bCs/>
          <w:color w:val="000000"/>
          <w:lang w:eastAsia="tr-TR"/>
        </w:rPr>
      </w:pPr>
    </w:p>
    <w:p w:rsidR="00E975F3" w:rsidRDefault="00E975F3" w:rsidP="00E975F3">
      <w:pPr>
        <w:shd w:val="clear" w:color="auto" w:fill="FFFFFF"/>
        <w:jc w:val="both"/>
        <w:rPr>
          <w:rFonts w:ascii="Times New Roman" w:hAnsi="Times New Roman" w:cs="Times New Roman"/>
          <w:b/>
          <w:bCs/>
          <w:color w:val="000000"/>
          <w:lang w:eastAsia="tr-TR"/>
        </w:rPr>
      </w:pPr>
      <w:r>
        <w:rPr>
          <w:rFonts w:ascii="Times New Roman" w:hAnsi="Times New Roman" w:cs="Times New Roman"/>
          <w:b/>
          <w:bCs/>
          <w:color w:val="000000"/>
          <w:lang w:eastAsia="tr-TR"/>
        </w:rPr>
        <w:t>İnceleme ve Tarhiyat</w:t>
      </w:r>
    </w:p>
    <w:p w:rsidR="00E975F3" w:rsidRDefault="00E975F3" w:rsidP="00E975F3">
      <w:pPr>
        <w:shd w:val="clear" w:color="auto" w:fill="FFFFFF"/>
        <w:jc w:val="both"/>
        <w:rPr>
          <w:rFonts w:ascii="Times New Roman" w:hAnsi="Times New Roman" w:cs="Times New Roman"/>
          <w:b/>
          <w:bCs/>
          <w:color w:val="000000"/>
          <w:lang w:eastAsia="tr-TR"/>
        </w:rPr>
      </w:pPr>
    </w:p>
    <w:p w:rsidR="00E975F3" w:rsidRDefault="00E975F3" w:rsidP="00E975F3">
      <w:pPr>
        <w:numPr>
          <w:ilvl w:val="0"/>
          <w:numId w:val="2"/>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Türkiye’ye getirilen varlıklar nedeniyle, madde hükmünden yararlananlar ve bunların kanuni temsilcileri hakkında sırf bu işlemin yapılmış olmasından dolayı ve bu işlemden hareket edilerek, hiçbir şekilde vergi incelemesi ve vergi tarhiyatı ile herhangi bir araştırma, inceleme, soruşturma veya kovuşturma yapılamayacak, vergi cezası ve idar</w:t>
      </w:r>
      <w:r>
        <w:rPr>
          <w:rFonts w:ascii="Times New Roman" w:eastAsia="Times New Roman" w:hAnsi="Times New Roman" w:cs="Times New Roman"/>
          <w:color w:val="000000"/>
          <w:lang w:eastAsia="tr-TR"/>
        </w:rPr>
        <w:t>i para cezası kesilemeyecektir.</w:t>
      </w:r>
    </w:p>
    <w:p w:rsidR="00E975F3" w:rsidRP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2"/>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Yurt dışından varlığı Türkiye’ye getirenin tüzel kişi olması halinde, sırf getirilen bu varlıklar nedeniyle bu tüzel kişinin kanuni temsilcileri, ortakları ve vekilleri ile bunların ortak oldukları şirketler hakkında da vergi incelemesi ve vergi tarhiyatı ile herhangi bir araştırma, inceleme, soruşturma veya kovuşturma yapılamayacak, vergi cezası ve idari para cezası kesilemeyecektir.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E975F3" w:rsidRDefault="00E975F3" w:rsidP="00E975F3">
      <w:pPr>
        <w:numPr>
          <w:ilvl w:val="0"/>
          <w:numId w:val="2"/>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Yurt dışından varlığı Türkiye’ye getirenin gerçek kişi olması halinde, sırf getirilen bu varlıklar nedeniyle bu gerçek kişinin yönetiminde bulunduğu veya ortak olduğu şirketler hakkında da vergi incelemesi ve vergi tarhiyatı ile herhangi bir araştırma, inceleme, soruşturma veya kovuşturma yapılamayacak, vergi cezası ve idari para cezası kesilemeyecektir.</w:t>
      </w:r>
    </w:p>
    <w:p w:rsidR="00E975F3" w:rsidRDefault="00E975F3" w:rsidP="00E975F3">
      <w:pPr>
        <w:shd w:val="clear" w:color="auto" w:fill="FFFFFF"/>
        <w:jc w:val="both"/>
        <w:rPr>
          <w:rFonts w:ascii="Times New Roman" w:eastAsia="Times New Roman" w:hAnsi="Times New Roman" w:cs="Times New Roman"/>
          <w:color w:val="000000"/>
          <w:lang w:eastAsia="tr-TR"/>
        </w:rPr>
      </w:pPr>
      <w:bookmarkStart w:id="0" w:name="_GoBack"/>
      <w:bookmarkEnd w:id="0"/>
    </w:p>
    <w:p w:rsidR="00E975F3" w:rsidRDefault="00E975F3" w:rsidP="00E975F3">
      <w:pPr>
        <w:numPr>
          <w:ilvl w:val="0"/>
          <w:numId w:val="2"/>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İthalde alınanlar da dahil olmak üzere </w:t>
      </w:r>
      <w:r>
        <w:rPr>
          <w:rFonts w:ascii="Times New Roman" w:eastAsia="Times New Roman" w:hAnsi="Times New Roman" w:cs="Times New Roman"/>
          <w:color w:val="000000"/>
          <w:u w:val="single"/>
          <w:lang w:eastAsia="tr-TR"/>
        </w:rPr>
        <w:t>her türlü vergi, resim, harç ve fon yönünden</w:t>
      </w:r>
      <w:r>
        <w:rPr>
          <w:rFonts w:ascii="Times New Roman" w:eastAsia="Times New Roman" w:hAnsi="Times New Roman" w:cs="Times New Roman"/>
          <w:color w:val="000000"/>
          <w:lang w:eastAsia="tr-TR"/>
        </w:rPr>
        <w:t xml:space="preserve"> herhangi bir inceleme ve tarhiyat yapılamayacak, ceza kesilemeyecektir.</w:t>
      </w:r>
    </w:p>
    <w:p w:rsidR="00E975F3" w:rsidRDefault="00E975F3" w:rsidP="00E975F3">
      <w:pPr>
        <w:shd w:val="clear" w:color="auto" w:fill="FFFFFF"/>
        <w:jc w:val="both"/>
        <w:rPr>
          <w:rFonts w:ascii="Times New Roman" w:eastAsia="Times New Roman" w:hAnsi="Times New Roman" w:cs="Times New Roman"/>
          <w:color w:val="000000"/>
          <w:lang w:eastAsia="tr-TR"/>
        </w:rPr>
      </w:pPr>
    </w:p>
    <w:p w:rsidR="002F1FCB" w:rsidRDefault="00E975F3" w:rsidP="00E975F3">
      <w:r>
        <w:rPr>
          <w:rFonts w:ascii="Times New Roman" w:eastAsia="Times New Roman" w:hAnsi="Times New Roman" w:cs="Times New Roman"/>
          <w:color w:val="000000"/>
          <w:lang w:eastAsia="tr-TR"/>
        </w:rPr>
        <w:t>Söz konusu varlık sebebiyle geçmişte elde edilmiş olabilecek (getirilme tarihine kadar oluşanlar dahil) kazanç ve iratlar ile söz konusu varlıkların iktisabında kullanılan kaynaklar nedeniyle geçmişe dönük bir vergi incelemesi ve tarhiyatı yapılmayacağı gibi bu kişilerden Türkiye’ye getirilen varlıklara ilişkin hiçbir şekilde bilgi talebinde de bulunulamayacaktır.</w:t>
      </w:r>
    </w:p>
    <w:sectPr w:rsidR="002F1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7D0"/>
    <w:multiLevelType w:val="hybridMultilevel"/>
    <w:tmpl w:val="DE54CB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ACC2845"/>
    <w:multiLevelType w:val="hybridMultilevel"/>
    <w:tmpl w:val="1AA691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F3"/>
    <w:rsid w:val="00090372"/>
    <w:rsid w:val="00E516FD"/>
    <w:rsid w:val="00E97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F48A"/>
  <w15:chartTrackingRefBased/>
  <w15:docId w15:val="{7B3CF3C8-6CEA-478C-B040-EFD3744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75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2016-12-05T06:29:00Z</dcterms:created>
  <dcterms:modified xsi:type="dcterms:W3CDTF">2016-12-05T06:33:00Z</dcterms:modified>
</cp:coreProperties>
</file>