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0C" w:rsidRDefault="0083340C" w:rsidP="0083340C">
      <w:pPr>
        <w:jc w:val="both"/>
        <w:rPr>
          <w:rFonts w:ascii="Times New Roman" w:hAnsi="Times New Roman" w:cs="Times New Roman"/>
          <w:b/>
          <w:bCs/>
          <w:color w:val="548DD4"/>
          <w:sz w:val="26"/>
          <w:szCs w:val="26"/>
        </w:rPr>
      </w:pPr>
      <w:r>
        <w:rPr>
          <w:rFonts w:ascii="Times New Roman" w:hAnsi="Times New Roman" w:cs="Times New Roman"/>
          <w:b/>
          <w:bCs/>
          <w:color w:val="548DD4"/>
          <w:sz w:val="26"/>
          <w:szCs w:val="26"/>
        </w:rPr>
        <w:t>60 Seri No’lu Damga Vergisi Genel Tebliği</w:t>
      </w:r>
    </w:p>
    <w:p w:rsidR="0083340C" w:rsidRDefault="0083340C" w:rsidP="0083340C">
      <w:pPr>
        <w:jc w:val="both"/>
        <w:rPr>
          <w:rFonts w:ascii="Times New Roman" w:hAnsi="Times New Roman" w:cs="Times New Roman"/>
          <w:b/>
          <w:bCs/>
        </w:rPr>
      </w:pPr>
    </w:p>
    <w:p w:rsidR="0083340C" w:rsidRDefault="0083340C" w:rsidP="0083340C">
      <w:pPr>
        <w:jc w:val="both"/>
        <w:rPr>
          <w:rFonts w:ascii="Times New Roman" w:hAnsi="Times New Roman" w:cs="Times New Roman"/>
        </w:rPr>
      </w:pPr>
      <w:r>
        <w:rPr>
          <w:rFonts w:ascii="Times New Roman" w:hAnsi="Times New Roman" w:cs="Times New Roman"/>
        </w:rPr>
        <w:t>Bilindiği üzere 9 Ağustos 2016 tarihli Resmi Gazetede yayımlanan 6728 sayılı Kanun maddeleri ile birlikte Damga Vergisi Kanunu’na önemli değişikler yapılmıştır. 29 Eylül 2016 tarihli Resmi Gazete’de ise 6728 sayılı Kanun ile getirilen değişiklere ilişkin olarak 60 seri no’lu Damga Vergisi Genel Tebliği yayımlanmıştır. Kanun ve tebliğ ile birlikte başlıca aşağıdaki konularda düzenleme getirilmiştir;</w:t>
      </w:r>
    </w:p>
    <w:p w:rsidR="0083340C" w:rsidRDefault="0083340C" w:rsidP="0083340C">
      <w:pPr>
        <w:jc w:val="both"/>
        <w:rPr>
          <w:rFonts w:ascii="Times New Roman" w:hAnsi="Times New Roman" w:cs="Times New Roman"/>
        </w:rPr>
      </w:pPr>
    </w:p>
    <w:p w:rsidR="0083340C" w:rsidRDefault="0083340C" w:rsidP="0083340C">
      <w:pPr>
        <w:pStyle w:val="ListParagraph"/>
        <w:numPr>
          <w:ilvl w:val="0"/>
          <w:numId w:val="1"/>
        </w:numPr>
        <w:jc w:val="both"/>
        <w:rPr>
          <w:rFonts w:ascii="Times New Roman" w:hAnsi="Times New Roman" w:cs="Times New Roman"/>
        </w:rPr>
      </w:pPr>
      <w:r>
        <w:rPr>
          <w:rFonts w:ascii="Times New Roman" w:hAnsi="Times New Roman" w:cs="Times New Roman"/>
        </w:rPr>
        <w:t xml:space="preserve">Tek nüsha üzerinden damga vergisi alınması </w:t>
      </w:r>
    </w:p>
    <w:p w:rsidR="0083340C" w:rsidRDefault="0083340C" w:rsidP="0083340C">
      <w:pPr>
        <w:pStyle w:val="ListParagraph"/>
        <w:numPr>
          <w:ilvl w:val="0"/>
          <w:numId w:val="1"/>
        </w:numPr>
        <w:shd w:val="clear" w:color="auto" w:fill="FFFFFF"/>
        <w:jc w:val="both"/>
        <w:rPr>
          <w:rFonts w:ascii="Times New Roman" w:hAnsi="Times New Roman" w:cs="Times New Roman"/>
        </w:rPr>
      </w:pPr>
      <w:r>
        <w:rPr>
          <w:rFonts w:ascii="Times New Roman" w:hAnsi="Times New Roman" w:cs="Times New Roman"/>
        </w:rPr>
        <w:t xml:space="preserve">Bir kefalet ve bir garanti taahhüdü için damga vergisi alınması </w:t>
      </w:r>
    </w:p>
    <w:p w:rsidR="0083340C" w:rsidRDefault="0083340C" w:rsidP="0083340C">
      <w:pPr>
        <w:pStyle w:val="ListParagraph"/>
        <w:numPr>
          <w:ilvl w:val="0"/>
          <w:numId w:val="1"/>
        </w:numPr>
        <w:shd w:val="clear" w:color="auto" w:fill="FFFFFF"/>
        <w:jc w:val="both"/>
        <w:rPr>
          <w:rFonts w:ascii="Times New Roman" w:hAnsi="Times New Roman" w:cs="Times New Roman"/>
        </w:rPr>
      </w:pPr>
      <w:r>
        <w:rPr>
          <w:rFonts w:ascii="Times New Roman" w:hAnsi="Times New Roman" w:cs="Times New Roman"/>
        </w:rPr>
        <w:t xml:space="preserve">Bir sözleşmenin yaptırımı olarak belirlenen taahhütlerden damga vergisi alınmaması </w:t>
      </w:r>
    </w:p>
    <w:p w:rsidR="0083340C" w:rsidRDefault="0083340C" w:rsidP="0083340C">
      <w:pPr>
        <w:pStyle w:val="ListParagraph"/>
        <w:numPr>
          <w:ilvl w:val="0"/>
          <w:numId w:val="1"/>
        </w:numPr>
        <w:jc w:val="both"/>
        <w:rPr>
          <w:rStyle w:val="Strong"/>
          <w:b w:val="0"/>
          <w:bCs w:val="0"/>
        </w:rPr>
      </w:pPr>
      <w:r>
        <w:rPr>
          <w:rStyle w:val="Strong"/>
          <w:shd w:val="clear" w:color="auto" w:fill="FFFFFF"/>
        </w:rPr>
        <w:t xml:space="preserve">Azami </w:t>
      </w:r>
      <w:r>
        <w:rPr>
          <w:rStyle w:val="Strong"/>
          <w:b w:val="0"/>
          <w:bCs w:val="0"/>
          <w:shd w:val="clear" w:color="auto" w:fill="FFFFFF"/>
        </w:rPr>
        <w:t>tutardan vergi alınan sözleşmelerde artan bedele ilişkin olarak damga vergisi alınmaması</w:t>
      </w:r>
    </w:p>
    <w:p w:rsidR="0083340C" w:rsidRDefault="0083340C" w:rsidP="0083340C">
      <w:pPr>
        <w:pStyle w:val="ListParagraph"/>
        <w:numPr>
          <w:ilvl w:val="0"/>
          <w:numId w:val="1"/>
        </w:numPr>
        <w:jc w:val="both"/>
        <w:rPr>
          <w:rStyle w:val="Strong"/>
          <w:b w:val="0"/>
          <w:bCs w:val="0"/>
        </w:rPr>
      </w:pPr>
      <w:r>
        <w:rPr>
          <w:rStyle w:val="Strong"/>
          <w:b w:val="0"/>
          <w:bCs w:val="0"/>
          <w:shd w:val="clear" w:color="auto" w:fill="FFFFFF"/>
        </w:rPr>
        <w:t>Damga vergisi kanuna yeni sözleşme türlerinin eklenmesi</w:t>
      </w:r>
    </w:p>
    <w:p w:rsidR="0083340C" w:rsidRDefault="0083340C" w:rsidP="0083340C">
      <w:pPr>
        <w:pStyle w:val="ListParagraph"/>
        <w:numPr>
          <w:ilvl w:val="0"/>
          <w:numId w:val="1"/>
        </w:numPr>
        <w:jc w:val="both"/>
        <w:rPr>
          <w:rStyle w:val="Strong"/>
          <w:b w:val="0"/>
          <w:bCs w:val="0"/>
        </w:rPr>
      </w:pPr>
      <w:r>
        <w:rPr>
          <w:rStyle w:val="Strong"/>
          <w:shd w:val="clear" w:color="auto" w:fill="FFFFFF"/>
        </w:rPr>
        <w:t xml:space="preserve">İhalenin </w:t>
      </w:r>
      <w:r>
        <w:rPr>
          <w:rStyle w:val="Strong"/>
          <w:b w:val="0"/>
          <w:bCs w:val="0"/>
          <w:shd w:val="clear" w:color="auto" w:fill="FFFFFF"/>
        </w:rPr>
        <w:t>iptal edilmesi halinde, ihale kararına ilişkin damga vergisinin iade edilmesi</w:t>
      </w:r>
    </w:p>
    <w:p w:rsidR="0083340C" w:rsidRDefault="0083340C" w:rsidP="0083340C">
      <w:pPr>
        <w:pStyle w:val="ListParagraph"/>
        <w:numPr>
          <w:ilvl w:val="0"/>
          <w:numId w:val="1"/>
        </w:numPr>
        <w:jc w:val="both"/>
        <w:rPr>
          <w:rStyle w:val="Strong"/>
          <w:b w:val="0"/>
          <w:bCs w:val="0"/>
        </w:rPr>
      </w:pPr>
      <w:r>
        <w:rPr>
          <w:rStyle w:val="Strong"/>
          <w:shd w:val="clear" w:color="auto" w:fill="FFFFFF"/>
        </w:rPr>
        <w:t xml:space="preserve">Kanuni </w:t>
      </w:r>
      <w:r>
        <w:rPr>
          <w:rStyle w:val="Strong"/>
          <w:b w:val="0"/>
          <w:bCs w:val="0"/>
          <w:shd w:val="clear" w:color="auto" w:fill="FFFFFF"/>
        </w:rPr>
        <w:t>süresinde düzeltme amacıyla verilen vergi beyannamelerinden damga vergisi alınmaması</w:t>
      </w:r>
    </w:p>
    <w:p w:rsidR="0083340C" w:rsidRDefault="0083340C" w:rsidP="0083340C">
      <w:pPr>
        <w:pStyle w:val="ListParagraph"/>
        <w:numPr>
          <w:ilvl w:val="0"/>
          <w:numId w:val="1"/>
        </w:numPr>
        <w:jc w:val="both"/>
        <w:rPr>
          <w:rStyle w:val="Strong"/>
          <w:b w:val="0"/>
          <w:bCs w:val="0"/>
        </w:rPr>
      </w:pPr>
      <w:r>
        <w:rPr>
          <w:rStyle w:val="Strong"/>
          <w:shd w:val="clear" w:color="auto" w:fill="FFFFFF"/>
        </w:rPr>
        <w:t xml:space="preserve">Finansal </w:t>
      </w:r>
      <w:r>
        <w:rPr>
          <w:rStyle w:val="Strong"/>
          <w:b w:val="0"/>
          <w:bCs w:val="0"/>
          <w:shd w:val="clear" w:color="auto" w:fill="FFFFFF"/>
        </w:rPr>
        <w:t>kiralama konusu malların teminine ilişkin kağıtlara istisna getirilmesi</w:t>
      </w:r>
    </w:p>
    <w:p w:rsidR="0083340C" w:rsidRDefault="0083340C" w:rsidP="0083340C">
      <w:pPr>
        <w:pStyle w:val="ListParagraph"/>
        <w:numPr>
          <w:ilvl w:val="0"/>
          <w:numId w:val="1"/>
        </w:numPr>
        <w:jc w:val="both"/>
        <w:rPr>
          <w:rFonts w:ascii="Times New Roman" w:hAnsi="Times New Roman" w:cs="Times New Roman"/>
        </w:rPr>
      </w:pPr>
      <w:r>
        <w:rPr>
          <w:rStyle w:val="Strong"/>
          <w:shd w:val="clear" w:color="auto" w:fill="FFFFFF"/>
        </w:rPr>
        <w:t xml:space="preserve">Damga </w:t>
      </w:r>
      <w:r>
        <w:rPr>
          <w:rStyle w:val="Strong"/>
          <w:b w:val="0"/>
          <w:bCs w:val="0"/>
          <w:shd w:val="clear" w:color="auto" w:fill="FFFFFF"/>
        </w:rPr>
        <w:t>vergisi istisnası getirilen kağıtlar</w:t>
      </w:r>
    </w:p>
    <w:p w:rsidR="0083340C" w:rsidRDefault="0083340C" w:rsidP="0083340C">
      <w:pPr>
        <w:jc w:val="both"/>
        <w:rPr>
          <w:rFonts w:ascii="Times New Roman" w:hAnsi="Times New Roman" w:cs="Times New Roman"/>
        </w:rPr>
      </w:pPr>
    </w:p>
    <w:p w:rsidR="0083340C" w:rsidRDefault="0083340C" w:rsidP="0083340C">
      <w:pPr>
        <w:jc w:val="both"/>
        <w:rPr>
          <w:rFonts w:ascii="Times New Roman" w:hAnsi="Times New Roman" w:cs="Times New Roman"/>
        </w:rPr>
      </w:pPr>
      <w:r>
        <w:rPr>
          <w:rFonts w:ascii="Times New Roman" w:hAnsi="Times New Roman" w:cs="Times New Roman"/>
        </w:rPr>
        <w:t>60 seri no’lu Damga Vergisi Genel Tebliği ile yukarıda belirtilen başlıklara ilişkin özetimiz aşağıdaki gibidir:</w:t>
      </w:r>
    </w:p>
    <w:p w:rsidR="0083340C" w:rsidRDefault="0083340C" w:rsidP="0083340C">
      <w:pPr>
        <w:jc w:val="both"/>
        <w:rPr>
          <w:rFonts w:ascii="Times New Roman" w:hAnsi="Times New Roman" w:cs="Times New Roman"/>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t xml:space="preserve">Tek Nüsha Üzerinden Damga Vergisi Alınması </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shd w:val="clear" w:color="auto" w:fill="FFFFFF"/>
        <w:jc w:val="both"/>
        <w:rPr>
          <w:rFonts w:ascii="Times New Roman" w:hAnsi="Times New Roman" w:cs="Times New Roman"/>
          <w:lang w:eastAsia="tr-TR"/>
        </w:rPr>
      </w:pPr>
      <w:r>
        <w:rPr>
          <w:rFonts w:ascii="Times New Roman" w:hAnsi="Times New Roman" w:cs="Times New Roman"/>
          <w:lang w:eastAsia="tr-TR"/>
        </w:rPr>
        <w:t>Yapılan düzenleme uyarınca, damga vergisi yönünden vergiyi doğuran olayın ilgili maddenin yürürlük tarihinden (09.08.2016) itibaren gerçekleşmesi durumunda, birden fazla nüsha olarak düzenlenen nispi vergiye tabi kağıtlarda sadece tek nüsha üzerinden damga vergisi hesaplanacaktır. Maktu damga vergisine tabi kağıtlarda ise her bir nüshadan ayrı ayrı aynı miktarda vergi alınması uygulamasına devam edilecektir.</w:t>
      </w:r>
    </w:p>
    <w:p w:rsidR="0083340C" w:rsidRDefault="0083340C" w:rsidP="0083340C">
      <w:pPr>
        <w:jc w:val="both"/>
        <w:rPr>
          <w:rFonts w:ascii="Times New Roman" w:hAnsi="Times New Roman" w:cs="Times New Roman"/>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t>Bir Kefalet ve Bir Garanti Taahhüdü İçin Damga Vergisi Alınması</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shd w:val="clear" w:color="auto" w:fill="FFFFFF"/>
        <w:jc w:val="both"/>
        <w:rPr>
          <w:rFonts w:ascii="Times New Roman" w:hAnsi="Times New Roman" w:cs="Times New Roman"/>
          <w:lang w:eastAsia="tr-TR"/>
        </w:rPr>
      </w:pPr>
      <w:r>
        <w:rPr>
          <w:rFonts w:ascii="Times New Roman" w:hAnsi="Times New Roman" w:cs="Times New Roman"/>
          <w:lang w:eastAsia="tr-TR"/>
        </w:rPr>
        <w:t>Damga vergisi yönünden vergiyi doğuran olayın Kanunun yürürlük tarihi olan 09.08.2016 tarihinden sonra gerçekleşmesi halinde, aynı kâğıtta asıl akit ve işlem yanında birden fazla adi kefil ve garantör bulunması durumunda, asıl akit yanında yalnız bir kefalet ve bir garanti taahhüdü için damga vergisi hesaplanacaktır.</w:t>
      </w:r>
    </w:p>
    <w:p w:rsidR="0083340C" w:rsidRDefault="0083340C" w:rsidP="0083340C">
      <w:pPr>
        <w:shd w:val="clear" w:color="auto" w:fill="FFFFFF"/>
        <w:jc w:val="both"/>
        <w:rPr>
          <w:rFonts w:ascii="Times New Roman" w:hAnsi="Times New Roman" w:cs="Times New Roman"/>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t xml:space="preserve">Bir Sözleşmenin Yaptırımı Olarak Belirlenen Taahhütlerden Damga Vergisi Alınmaması </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shd w:val="clear" w:color="auto" w:fill="FFFFFF"/>
        <w:jc w:val="both"/>
        <w:rPr>
          <w:rFonts w:ascii="Times New Roman" w:hAnsi="Times New Roman" w:cs="Times New Roman"/>
          <w:lang w:eastAsia="tr-TR"/>
        </w:rPr>
      </w:pPr>
      <w:r>
        <w:rPr>
          <w:rFonts w:ascii="Times New Roman" w:hAnsi="Times New Roman" w:cs="Times New Roman"/>
          <w:lang w:eastAsia="tr-TR"/>
        </w:rPr>
        <w:t xml:space="preserve">Tebliğ ile birlikte yapılan düzenlemeye göre, asıl akit ve işlemle birlikte aynı kağıtta yer verilen pey akçesi (bağlanma parası), cayma tazminatı </w:t>
      </w:r>
      <w:r>
        <w:rPr>
          <w:rFonts w:ascii="Times New Roman" w:hAnsi="Times New Roman" w:cs="Times New Roman"/>
        </w:rPr>
        <w:t>(zamanı rücu, cayma parası)</w:t>
      </w:r>
      <w:r>
        <w:rPr>
          <w:rFonts w:ascii="Times New Roman" w:hAnsi="Times New Roman" w:cs="Times New Roman"/>
          <w:lang w:eastAsia="tr-TR"/>
        </w:rPr>
        <w:t xml:space="preserve">, ücret tevkifi, cezai şart gibi bir sözleşmenin yaptırımı olarak belirlenen taahhütlerden damga vergisi alınmayacak, damga vergisi asıl akit konusu işlem üzerinden alınacaktır. Ancak söz konusu taahhütlerin, ayrı bir kağıtta düzenlenmesi ve başlı başına bir sözleşmeye konu olması durumunda damga vergisine konu teşkil edecektir. </w:t>
      </w:r>
    </w:p>
    <w:p w:rsidR="0083340C" w:rsidRDefault="0083340C" w:rsidP="0083340C">
      <w:pPr>
        <w:jc w:val="both"/>
        <w:rPr>
          <w:rFonts w:ascii="Times New Roman" w:hAnsi="Times New Roman" w:cs="Times New Roman"/>
          <w:b/>
          <w:bCs/>
          <w:i/>
          <w:iCs/>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t>Azami Tutardan Vergi Alınan Sözleşmelerde Artan Bedele İlişkin Olarak Damga Vergisi Alınmaması</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shd w:val="clear" w:color="auto" w:fill="FFFFFF"/>
        <w:jc w:val="both"/>
        <w:rPr>
          <w:rFonts w:ascii="Times New Roman" w:hAnsi="Times New Roman" w:cs="Times New Roman"/>
          <w:lang w:eastAsia="tr-TR"/>
        </w:rPr>
      </w:pPr>
      <w:r>
        <w:rPr>
          <w:rFonts w:ascii="Times New Roman" w:hAnsi="Times New Roman" w:cs="Times New Roman"/>
          <w:lang w:eastAsia="tr-TR"/>
        </w:rPr>
        <w:t>09.08.2016 tarihinden itibaren, azami tutardan (bu tutar 2016 yılı için 1.797.117,30 TL’dir) vergi alınan sözleşmelere ilişkin olarak, sözleşmenin diğer hükümlerinde değişiklik olmaksızın sadece bedelin artırılmasına dair yeni bir kağıt düzenlenmesi halinde, değişikliğe ilişkin bu kağıt için artan bedel nedeniyle tekrar damga vergisi alınmayacaktır. Öte yandan, sözleşmelerin bedeli dışında ilave iş ve miktar gibi unsurlarının da değiştirilmesi halinde, değişikliğe ilişkin artan tutardan ayrıca damga vergisi alınacaktır.</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lastRenderedPageBreak/>
        <w:t>Damga Vergisi Kanuna Yeni Sözleşme Türlerinin Eklenmesi</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shd w:val="clear" w:color="auto" w:fill="FFFFFF"/>
        <w:jc w:val="both"/>
        <w:rPr>
          <w:rFonts w:ascii="Times New Roman" w:hAnsi="Times New Roman" w:cs="Times New Roman"/>
          <w:lang w:eastAsia="tr-TR"/>
        </w:rPr>
      </w:pPr>
      <w:r>
        <w:rPr>
          <w:rFonts w:ascii="Times New Roman" w:hAnsi="Times New Roman" w:cs="Times New Roman"/>
          <w:lang w:eastAsia="tr-TR"/>
        </w:rPr>
        <w:t>Damga Vergisi Kanunu’na ekli (1) sayılı tabloya aşağıda adı geçen kanunlar kapsamında farklı sözleşme türleri eklenmiştir.</w:t>
      </w:r>
    </w:p>
    <w:p w:rsidR="0083340C" w:rsidRDefault="0083340C" w:rsidP="0083340C">
      <w:pPr>
        <w:pStyle w:val="ListParagraph"/>
        <w:numPr>
          <w:ilvl w:val="0"/>
          <w:numId w:val="2"/>
        </w:numPr>
        <w:shd w:val="clear" w:color="auto" w:fill="FFFFFF"/>
        <w:jc w:val="both"/>
        <w:rPr>
          <w:rFonts w:ascii="Times New Roman" w:hAnsi="Times New Roman" w:cs="Times New Roman"/>
          <w:lang w:eastAsia="tr-TR"/>
        </w:rPr>
      </w:pPr>
      <w:r>
        <w:rPr>
          <w:rFonts w:ascii="Times New Roman" w:hAnsi="Times New Roman" w:cs="Times New Roman"/>
          <w:lang w:eastAsia="tr-TR"/>
        </w:rPr>
        <w:t>6502 sayılı Tüketicinin Korunması Hakkında Kanun,</w:t>
      </w:r>
    </w:p>
    <w:p w:rsidR="0083340C" w:rsidRDefault="0083340C" w:rsidP="0083340C">
      <w:pPr>
        <w:pStyle w:val="ListParagraph"/>
        <w:numPr>
          <w:ilvl w:val="0"/>
          <w:numId w:val="2"/>
        </w:numPr>
        <w:shd w:val="clear" w:color="auto" w:fill="FFFFFF"/>
        <w:jc w:val="both"/>
        <w:rPr>
          <w:rFonts w:ascii="Times New Roman" w:hAnsi="Times New Roman" w:cs="Times New Roman"/>
          <w:lang w:eastAsia="tr-TR"/>
        </w:rPr>
      </w:pPr>
      <w:r>
        <w:rPr>
          <w:rFonts w:ascii="Times New Roman" w:hAnsi="Times New Roman" w:cs="Times New Roman"/>
          <w:lang w:eastAsia="tr-TR"/>
        </w:rPr>
        <w:t>6326 sayılı Turist Rehberliği Meslek Kanunu,</w:t>
      </w:r>
    </w:p>
    <w:p w:rsidR="0083340C" w:rsidRDefault="0083340C" w:rsidP="0083340C">
      <w:pPr>
        <w:pStyle w:val="ListParagraph"/>
        <w:numPr>
          <w:ilvl w:val="0"/>
          <w:numId w:val="2"/>
        </w:numPr>
        <w:shd w:val="clear" w:color="auto" w:fill="FFFFFF"/>
        <w:jc w:val="both"/>
        <w:rPr>
          <w:rFonts w:ascii="Times New Roman" w:hAnsi="Times New Roman" w:cs="Times New Roman"/>
          <w:lang w:eastAsia="tr-TR"/>
        </w:rPr>
      </w:pPr>
      <w:r>
        <w:rPr>
          <w:rFonts w:ascii="Times New Roman" w:hAnsi="Times New Roman" w:cs="Times New Roman"/>
          <w:lang w:eastAsia="tr-TR"/>
        </w:rPr>
        <w:t xml:space="preserve">6446 sayılı Elektrik Piyasası Kanunu </w:t>
      </w:r>
    </w:p>
    <w:p w:rsidR="0083340C" w:rsidRDefault="0083340C" w:rsidP="0083340C">
      <w:pPr>
        <w:pStyle w:val="ListParagraph"/>
        <w:numPr>
          <w:ilvl w:val="0"/>
          <w:numId w:val="2"/>
        </w:numPr>
        <w:shd w:val="clear" w:color="auto" w:fill="FFFFFF"/>
        <w:jc w:val="both"/>
        <w:rPr>
          <w:rFonts w:ascii="Times New Roman" w:hAnsi="Times New Roman" w:cs="Times New Roman"/>
          <w:lang w:eastAsia="tr-TR"/>
        </w:rPr>
      </w:pPr>
      <w:r>
        <w:rPr>
          <w:rFonts w:ascii="Times New Roman" w:hAnsi="Times New Roman" w:cs="Times New Roman"/>
          <w:lang w:eastAsia="tr-TR"/>
        </w:rPr>
        <w:t>4646 sayılı Doğal Gaz Piyasası Kanunu</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t>İhalenin İptal Edilmesi Halinde, İhale Kararına İlişkin Damga Vergisinin İade Edilmesi</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shd w:val="clear" w:color="auto" w:fill="FFFFFF"/>
        <w:jc w:val="both"/>
        <w:rPr>
          <w:rFonts w:ascii="Times New Roman" w:hAnsi="Times New Roman" w:cs="Times New Roman"/>
          <w:lang w:eastAsia="tr-TR"/>
        </w:rPr>
      </w:pPr>
      <w:r>
        <w:rPr>
          <w:rFonts w:ascii="Times New Roman" w:hAnsi="Times New Roman" w:cs="Times New Roman"/>
          <w:lang w:eastAsia="tr-TR"/>
        </w:rPr>
        <w:t xml:space="preserve">Kamu İhale Kanununa tabi ihalelerde şikayet ve itirazen şikayet üzerine ilgili kurum ve kuruluşlar ile Kamu İhale Kurumu kararı ve yargı kararlarına istinaden ihalenin iptal edilmesi halinde, ihale kararına ilişkin damga vergisinin iade edilmesine imkan tanınmıştır. İade işlemi için bağlı bulundukları vergi dairesine başvurulması gerekmektedir. </w:t>
      </w:r>
    </w:p>
    <w:p w:rsidR="0083340C" w:rsidRDefault="0083340C" w:rsidP="0083340C">
      <w:pPr>
        <w:shd w:val="clear" w:color="auto" w:fill="FFFFFF"/>
        <w:jc w:val="both"/>
        <w:rPr>
          <w:rFonts w:ascii="Times New Roman" w:hAnsi="Times New Roman" w:cs="Times New Roman"/>
          <w:lang w:eastAsia="tr-TR"/>
        </w:rPr>
      </w:pPr>
    </w:p>
    <w:p w:rsidR="0083340C" w:rsidRDefault="0083340C" w:rsidP="0083340C">
      <w:pPr>
        <w:shd w:val="clear" w:color="auto" w:fill="FFFFFF"/>
        <w:jc w:val="both"/>
        <w:rPr>
          <w:rFonts w:ascii="Times New Roman" w:hAnsi="Times New Roman" w:cs="Times New Roman"/>
        </w:rPr>
      </w:pPr>
      <w:r>
        <w:rPr>
          <w:rFonts w:ascii="Times New Roman" w:hAnsi="Times New Roman" w:cs="Times New Roman"/>
        </w:rPr>
        <w:t>Ek olarak, sözleşmeye konu işin iptali durumunda dahi sözleşmeye ait damga vergisinin iade edilmeyeceği hususuna açıklık getirilmiştir.</w:t>
      </w:r>
    </w:p>
    <w:p w:rsidR="0083340C" w:rsidRDefault="0083340C" w:rsidP="0083340C">
      <w:pPr>
        <w:shd w:val="clear" w:color="auto" w:fill="FFFFFF"/>
        <w:jc w:val="both"/>
        <w:rPr>
          <w:rFonts w:ascii="Times New Roman" w:hAnsi="Times New Roman" w:cs="Times New Roman"/>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t>Kanuni Süresinde Düzeltme Amacıyla Verilen Vergi Beyannamelerinden Damga Vergisi Alınmayacak</w:t>
      </w:r>
    </w:p>
    <w:p w:rsidR="0083340C" w:rsidRDefault="0083340C" w:rsidP="0083340C">
      <w:pPr>
        <w:pStyle w:val="ListParagraph"/>
        <w:jc w:val="both"/>
        <w:rPr>
          <w:rFonts w:ascii="Times New Roman" w:hAnsi="Times New Roman" w:cs="Times New Roman"/>
        </w:rPr>
      </w:pPr>
    </w:p>
    <w:p w:rsidR="0083340C" w:rsidRDefault="0083340C" w:rsidP="0083340C">
      <w:pPr>
        <w:jc w:val="both"/>
        <w:rPr>
          <w:rFonts w:ascii="Times New Roman" w:hAnsi="Times New Roman" w:cs="Times New Roman"/>
        </w:rPr>
      </w:pPr>
      <w:r>
        <w:rPr>
          <w:rFonts w:ascii="Times New Roman" w:hAnsi="Times New Roman" w:cs="Times New Roman"/>
        </w:rPr>
        <w:t>Vergi beyannamelerine ilişkin kanuni süresinde düzeltme amacıyla verilen vergi beyannameleri damga vergisinin konusu dışına çıkarılmıştır. Buna göre; aylık prim ve hizmet belgesi ile muhtasar beyannamelerin birleştirilerek verilmesi ile oluşacak beyannameler dahil, kanuni süresi içinde verilecek olan düzeltme beyannamelerinden damga vergisi alınmayacaktır.</w:t>
      </w:r>
    </w:p>
    <w:p w:rsidR="0083340C" w:rsidRDefault="0083340C" w:rsidP="0083340C">
      <w:pPr>
        <w:jc w:val="both"/>
        <w:rPr>
          <w:rFonts w:ascii="Times New Roman" w:hAnsi="Times New Roman" w:cs="Times New Roman"/>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t>Finansal Kiralama Konusu Malların Teminine İlişkin Kağıtlara İstisna Getirilmesi</w:t>
      </w:r>
    </w:p>
    <w:p w:rsidR="0083340C" w:rsidRDefault="0083340C" w:rsidP="0083340C">
      <w:pPr>
        <w:jc w:val="both"/>
        <w:rPr>
          <w:rFonts w:ascii="Times New Roman" w:hAnsi="Times New Roman" w:cs="Times New Roman"/>
        </w:rPr>
      </w:pPr>
    </w:p>
    <w:p w:rsidR="0083340C" w:rsidRDefault="0083340C" w:rsidP="0083340C">
      <w:pPr>
        <w:jc w:val="both"/>
        <w:rPr>
          <w:rFonts w:ascii="Times New Roman" w:hAnsi="Times New Roman" w:cs="Times New Roman"/>
        </w:rPr>
      </w:pPr>
      <w:r>
        <w:rPr>
          <w:rFonts w:ascii="Times New Roman" w:hAnsi="Times New Roman" w:cs="Times New Roman"/>
        </w:rPr>
        <w:t xml:space="preserve">6361 sayılı Finansal Kiralama, Faktoring ve Finansman Şirketleri Kanunu’na getirilen değişiklik ile finansal kiralama sözleşmeleri ve sözleşmelerin devri ile tadiline ilişkin kağıtlarla birlikte, finansal kiralama konusu malların teminine ilişkin kiralayan ve satıcı arasında düzenlenen sözleşmelere ilişkin damga vergisi istisnası getirilmiştir. </w:t>
      </w:r>
    </w:p>
    <w:p w:rsidR="0083340C" w:rsidRDefault="0083340C" w:rsidP="0083340C">
      <w:pPr>
        <w:jc w:val="both"/>
        <w:rPr>
          <w:rFonts w:ascii="Times New Roman" w:hAnsi="Times New Roman" w:cs="Times New Roman"/>
        </w:rPr>
      </w:pPr>
    </w:p>
    <w:p w:rsidR="0083340C" w:rsidRDefault="0083340C" w:rsidP="0083340C">
      <w:pPr>
        <w:jc w:val="both"/>
        <w:rPr>
          <w:rFonts w:ascii="Times New Roman" w:hAnsi="Times New Roman" w:cs="Times New Roman"/>
          <w:b/>
          <w:bCs/>
          <w:i/>
          <w:iCs/>
        </w:rPr>
      </w:pPr>
      <w:r>
        <w:rPr>
          <w:rFonts w:ascii="Times New Roman" w:hAnsi="Times New Roman" w:cs="Times New Roman"/>
          <w:b/>
          <w:bCs/>
          <w:i/>
          <w:iCs/>
        </w:rPr>
        <w:t>Damga Vergisi İstisnası Getirilen Kağıtlar</w:t>
      </w:r>
    </w:p>
    <w:p w:rsidR="0083340C" w:rsidRDefault="0083340C" w:rsidP="0083340C">
      <w:pPr>
        <w:jc w:val="both"/>
        <w:rPr>
          <w:rFonts w:ascii="Times New Roman" w:hAnsi="Times New Roman" w:cs="Times New Roman"/>
          <w:u w:val="single"/>
        </w:rPr>
      </w:pPr>
    </w:p>
    <w:p w:rsidR="0083340C" w:rsidRDefault="0083340C" w:rsidP="0083340C">
      <w:pPr>
        <w:jc w:val="both"/>
        <w:rPr>
          <w:rFonts w:ascii="Times New Roman" w:hAnsi="Times New Roman" w:cs="Times New Roman"/>
        </w:rPr>
      </w:pPr>
      <w:r>
        <w:rPr>
          <w:rFonts w:ascii="Times New Roman" w:hAnsi="Times New Roman" w:cs="Times New Roman"/>
        </w:rPr>
        <w:t>Damga vergisi istisnası getirilen önemli kağıtlar aşağıdaki gibidir: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Sigorta sözleşmeleri dışındaki kağıtlarda asıl akit ve işlemle birlikte yer alan belli parayı ihtiva eden sigorta yaptırma taahhütleri ile bireysel emeklilik, gruba bağlı bireysel emeklilik, işveren grup emeklilik sözleşmeleri</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Şirketlerin pay (hisse) devirlerine ilişkin düzenlenen kağıtlara</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6362 sayılı Sermaye Piyasası Kanunu kapsamında, tezgah üstü piyasalarda müşterileri ile karşılıklı türev araç düzenleme ve işlem yapma yetkisi, bankaların yanı sıra aracı kurumlara da verildiğinden, aracı kurumların taraf olduğu ya da bunlar aracılığıyla yapılan söz konusu fıkra kapsamındaki işlemler nedeniyle düzenlenen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Gayrimenkul yatırım fonlarının münhasıran gayrimenkul portföylerine ilişkin alım satım sözleşmeleri ile gayrimenkul satış vaadi sözleşmeleri </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Bankalar, yurt dışı kredi kuruluşları ve uluslararası kurumların kullandırdıkları kredilerin devrine ilişkin düzenlenen kağıtlar ile bu krediden doğan alacakların temlikine ilişkin düzenledikleri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Bankalarda olduğu gibi finansman şirketlerince kullandırılan kredilerin devrine ilişkin düzenlenen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 xml:space="preserve">Damga vergisinden istisna olan kira sözleşmelerinden, bu sözleşmelerdeki kefalet şerhleri ve teminat taahhütleri </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lastRenderedPageBreak/>
        <w:t>Sahipliğe dayalı kira sertifikasının yanı sıra Sermeye Piyasası Kurulu tarafından belirlenen yönetim sözleşmesine, vadeli alım satım dahil alım satıma, ortaklığa, eser sözleşmesine dayalı farklı kira sertifikası türlerine göre düzenlenen kâğıtlar ve kira sertifikaları ödemeleri ile bunların teminatlarına ilişkin olarak düzenlenen her türlü kâğıtlar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Yatırım Teşvik Belgesi kapsamında yer alan yatırım mallarına ilişkin olarak Yatırım Teşvik Belgesi sahibi yatırımcılarla bu malların üreticileri ve tedarikçileri arasında düzenlenen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Münhasıran yatırım döneminde Yatırım Teşvik Belgesi kapsamındaki yatırıma yönelik gayri maddi hakların kiralanması ve satın alınmasına ilişkin düzenlenen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Yatırım Teşvik Belgesi kapsamındaki sabit kıymet yatırımlarının imal ve inşasına yönelik düzenlenen sözleşmeler, taahhütnameler, teminatlar ve bu mahiyetteki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Yatırım Teşvik Belgesi kapsamındaki yatırımlara yönelik danışmanlık ve teknik müşavirlik hizmetlerine ilişkin düzenlenen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Yatırımlarda Devlet yardımları hakkında kararlarla belirlenen yüksek ve orta-yüksek teknolojili sanayi sınıfında yer alan ürünlerin imalatına ilişkin olarak imalatçılar ile tedarikçileri arasında mal ve hizmet alımı nedeniyle düzenlenen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6493 sayılı Ödeme ve Menkul Kıymet Mutabakat Sistemleri, Ödeme Hizmetleri ve Elektronik Para Kuruluşları Hakkında Kanun kapsamında ödeme hizmeti sağlayıcısı ile ödeme hizmeti kullanıcısı arasında düzenlenen tek seferlik ödeme sözleşmeleri</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Binalarda ısı yalıtımı ve enerji tasarrufu sağlamaya yönelik olarak düzenlenen kağıtlar ile 6948 sayılı Sanayi Sicili Kanununa göre sanayi sicil belgesini haiz sanayi işletmelerince münhasıran imalat sanayinde kullanılmak üzere yeni makine ve teçhizat alımına yönelik düzenlenen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Ürünlerin yurt dışında tanıtım ve pazarlamasını sağlamak amacıyla, miktarı ticari teamüllere uygun örnek ürünler, tanıtım malzemeleri veya promosyon amaçlı ürünlerin bedelsiz ihracatına ilişkin düzenlenen kağıtlar ile yurt dışındaki fuarlara katılım amacıyla düzenlenen kağıtlar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Girişim sermayesi yatırım ortaklıkları ve girişim sermayesi yatırım fonlarının münhasıran girişim sermayesi yatırımları ile ilgili düzenlenen sözleşmeler ile bu sözleşmelere ilişkin düzenlenen diğer kağıtlar</w:t>
      </w:r>
      <w:r>
        <w:rPr>
          <w:rFonts w:ascii="Times New Roman" w:hAnsi="Times New Roman" w:cs="Times New Roman"/>
          <w:color w:val="000000"/>
        </w:rPr>
        <w:t xml:space="preserve"> </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color w:val="000000"/>
        </w:rPr>
        <w:t>Sermaye piyasası mevzuatı çerçevesinde sermaye piyasası araçlarının kredili alımı, açığa satışı ve ödünç alma ve verme işlemleri ile ilgili olarak aracı kurumlar ile yatırımcılar arasında düzenlenecek sözleşmeler</w:t>
      </w:r>
    </w:p>
    <w:p w:rsidR="0083340C" w:rsidRDefault="0083340C" w:rsidP="0083340C">
      <w:pPr>
        <w:pStyle w:val="ListParagraph"/>
        <w:numPr>
          <w:ilvl w:val="0"/>
          <w:numId w:val="3"/>
        </w:numPr>
        <w:jc w:val="both"/>
        <w:rPr>
          <w:rFonts w:ascii="Times New Roman" w:hAnsi="Times New Roman" w:cs="Times New Roman"/>
        </w:rPr>
      </w:pPr>
      <w:r>
        <w:rPr>
          <w:rFonts w:ascii="Times New Roman" w:hAnsi="Times New Roman" w:cs="Times New Roman"/>
        </w:rPr>
        <w:t>İleri teknolojiye sahip ve teknoloji transferi sağlayacak yurt dışında yerleşik şirketlerin satın alınmasına ilişkin düzenlenen kağıtlar ile bu alımlara yönelik mali ve hukuki danışmanlık hizmet alımına ilişkin düzenlenen kağıtlar</w:t>
      </w:r>
    </w:p>
    <w:p w:rsidR="0083340C" w:rsidRDefault="0083340C" w:rsidP="0083340C">
      <w:pPr>
        <w:pStyle w:val="Default"/>
        <w:jc w:val="both"/>
        <w:rPr>
          <w:sz w:val="22"/>
          <w:szCs w:val="22"/>
        </w:rPr>
      </w:pPr>
    </w:p>
    <w:p w:rsidR="002F1FCB" w:rsidRPr="00DA3F42" w:rsidRDefault="0083340C" w:rsidP="00DA3F42">
      <w:pPr>
        <w:pStyle w:val="Default"/>
        <w:jc w:val="both"/>
        <w:rPr>
          <w:sz w:val="22"/>
          <w:szCs w:val="22"/>
        </w:rPr>
      </w:pPr>
      <w:r>
        <w:rPr>
          <w:sz w:val="22"/>
          <w:szCs w:val="22"/>
        </w:rPr>
        <w:t xml:space="preserve">Geçmiş tarihli bilgilendirme notlarımıza </w:t>
      </w:r>
      <w:hyperlink r:id="rId5" w:history="1">
        <w:r>
          <w:rPr>
            <w:rStyle w:val="Hyperlink"/>
            <w:sz w:val="22"/>
            <w:szCs w:val="22"/>
          </w:rPr>
          <w:t>www.eratalar.com</w:t>
        </w:r>
      </w:hyperlink>
      <w:r>
        <w:rPr>
          <w:sz w:val="22"/>
          <w:szCs w:val="22"/>
        </w:rPr>
        <w:t xml:space="preserve"> adresinden ulaşabilirsiniz. </w:t>
      </w:r>
      <w:bookmarkStart w:id="0" w:name="_GoBack"/>
      <w:bookmarkEnd w:id="0"/>
    </w:p>
    <w:sectPr w:rsidR="002F1FCB" w:rsidRPr="00DA3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0B3"/>
    <w:multiLevelType w:val="hybridMultilevel"/>
    <w:tmpl w:val="74181E2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24C511A"/>
    <w:multiLevelType w:val="hybridMultilevel"/>
    <w:tmpl w:val="2CF642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DA73458"/>
    <w:multiLevelType w:val="hybridMultilevel"/>
    <w:tmpl w:val="89563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0C"/>
    <w:rsid w:val="00090372"/>
    <w:rsid w:val="0083340C"/>
    <w:rsid w:val="00DA3F42"/>
    <w:rsid w:val="00E51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0CF8"/>
  <w15:chartTrackingRefBased/>
  <w15:docId w15:val="{7350AFED-E3AB-4FEC-AD49-6DC0D04C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34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40C"/>
    <w:rPr>
      <w:color w:val="0563C1"/>
      <w:u w:val="single"/>
    </w:rPr>
  </w:style>
  <w:style w:type="paragraph" w:styleId="ListParagraph">
    <w:name w:val="List Paragraph"/>
    <w:basedOn w:val="Normal"/>
    <w:uiPriority w:val="34"/>
    <w:qFormat/>
    <w:rsid w:val="0083340C"/>
    <w:pPr>
      <w:ind w:left="720"/>
      <w:contextualSpacing/>
    </w:pPr>
  </w:style>
  <w:style w:type="paragraph" w:customStyle="1" w:styleId="Default">
    <w:name w:val="Default"/>
    <w:basedOn w:val="Normal"/>
    <w:rsid w:val="0083340C"/>
    <w:pPr>
      <w:autoSpaceDE w:val="0"/>
      <w:autoSpaceDN w:val="0"/>
    </w:pPr>
    <w:rPr>
      <w:rFonts w:ascii="Times New Roman" w:hAnsi="Times New Roman" w:cs="Times New Roman"/>
      <w:color w:val="000000"/>
      <w:sz w:val="24"/>
      <w:szCs w:val="24"/>
      <w:lang w:eastAsia="tr-TR"/>
    </w:rPr>
  </w:style>
  <w:style w:type="character" w:styleId="Strong">
    <w:name w:val="Strong"/>
    <w:basedOn w:val="DefaultParagraphFont"/>
    <w:uiPriority w:val="22"/>
    <w:qFormat/>
    <w:rsid w:val="00833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ata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2</cp:revision>
  <dcterms:created xsi:type="dcterms:W3CDTF">2016-10-04T14:18:00Z</dcterms:created>
  <dcterms:modified xsi:type="dcterms:W3CDTF">2016-10-04T14:29:00Z</dcterms:modified>
</cp:coreProperties>
</file>