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1A" w:rsidRDefault="00B0521A" w:rsidP="00B0521A">
      <w:pPr>
        <w:jc w:val="both"/>
        <w:rPr>
          <w:rFonts w:ascii="Times New Roman" w:hAnsi="Times New Roman"/>
          <w:b/>
          <w:bCs/>
          <w:color w:val="548DD4"/>
          <w:sz w:val="26"/>
          <w:szCs w:val="26"/>
        </w:rPr>
      </w:pPr>
      <w:r>
        <w:rPr>
          <w:rFonts w:ascii="Times New Roman" w:hAnsi="Times New Roman"/>
          <w:b/>
          <w:bCs/>
          <w:color w:val="548DD4"/>
          <w:sz w:val="26"/>
          <w:szCs w:val="26"/>
        </w:rPr>
        <w:t>TPKK Hakk</w:t>
      </w:r>
      <w:r>
        <w:rPr>
          <w:rFonts w:ascii="Times" w:hAnsi="Times" w:cs="Times"/>
          <w:b/>
          <w:bCs/>
          <w:color w:val="548DD4"/>
          <w:sz w:val="26"/>
          <w:szCs w:val="26"/>
        </w:rPr>
        <w:t>ı</w:t>
      </w:r>
      <w:r>
        <w:rPr>
          <w:rFonts w:ascii="Times New Roman" w:hAnsi="Times New Roman"/>
          <w:b/>
          <w:bCs/>
          <w:color w:val="548DD4"/>
          <w:sz w:val="26"/>
          <w:szCs w:val="26"/>
        </w:rPr>
        <w:t>nda 32 Say</w:t>
      </w:r>
      <w:r>
        <w:rPr>
          <w:rFonts w:ascii="Times" w:hAnsi="Times" w:cs="Times"/>
          <w:b/>
          <w:bCs/>
          <w:color w:val="548DD4"/>
          <w:sz w:val="26"/>
          <w:szCs w:val="26"/>
        </w:rPr>
        <w:t>ı</w:t>
      </w:r>
      <w:r>
        <w:rPr>
          <w:rFonts w:ascii="Times New Roman" w:hAnsi="Times New Roman"/>
          <w:b/>
          <w:bCs/>
          <w:color w:val="548DD4"/>
          <w:sz w:val="26"/>
          <w:szCs w:val="26"/>
        </w:rPr>
        <w:t>l</w:t>
      </w:r>
      <w:r>
        <w:rPr>
          <w:rFonts w:ascii="Times" w:hAnsi="Times" w:cs="Times"/>
          <w:b/>
          <w:bCs/>
          <w:color w:val="548DD4"/>
          <w:sz w:val="26"/>
          <w:szCs w:val="26"/>
        </w:rPr>
        <w:t>ı</w:t>
      </w:r>
      <w:r>
        <w:rPr>
          <w:rFonts w:ascii="Times New Roman" w:hAnsi="Times New Roman"/>
          <w:b/>
          <w:bCs/>
          <w:color w:val="548DD4"/>
          <w:sz w:val="26"/>
          <w:szCs w:val="26"/>
        </w:rPr>
        <w:t xml:space="preserve"> Karara </w:t>
      </w:r>
      <w:r>
        <w:rPr>
          <w:rFonts w:ascii="Times" w:hAnsi="Times" w:cs="Times"/>
          <w:b/>
          <w:bCs/>
          <w:color w:val="548DD4"/>
          <w:sz w:val="26"/>
          <w:szCs w:val="26"/>
        </w:rPr>
        <w:t>İ</w:t>
      </w:r>
      <w:r>
        <w:rPr>
          <w:rFonts w:ascii="Times New Roman" w:hAnsi="Times New Roman"/>
          <w:b/>
          <w:bCs/>
          <w:color w:val="548DD4"/>
          <w:sz w:val="26"/>
          <w:szCs w:val="26"/>
        </w:rPr>
        <w:t>li</w:t>
      </w:r>
      <w:r>
        <w:rPr>
          <w:rFonts w:ascii="Times" w:hAnsi="Times" w:cs="Times"/>
          <w:b/>
          <w:bCs/>
          <w:color w:val="548DD4"/>
          <w:sz w:val="26"/>
          <w:szCs w:val="26"/>
        </w:rPr>
        <w:t>ş</w:t>
      </w:r>
      <w:r>
        <w:rPr>
          <w:rFonts w:ascii="Times New Roman" w:hAnsi="Times New Roman"/>
          <w:b/>
          <w:bCs/>
          <w:color w:val="548DD4"/>
          <w:sz w:val="26"/>
          <w:szCs w:val="26"/>
        </w:rPr>
        <w:t>kin Tebli</w:t>
      </w:r>
      <w:r>
        <w:rPr>
          <w:rFonts w:ascii="Times" w:hAnsi="Times" w:cs="Times"/>
          <w:b/>
          <w:bCs/>
          <w:color w:val="548DD4"/>
          <w:sz w:val="26"/>
          <w:szCs w:val="26"/>
        </w:rPr>
        <w:t>ğ’</w:t>
      </w:r>
      <w:r>
        <w:rPr>
          <w:rFonts w:ascii="Times New Roman" w:hAnsi="Times New Roman"/>
          <w:b/>
          <w:bCs/>
          <w:color w:val="548DD4"/>
          <w:sz w:val="26"/>
          <w:szCs w:val="26"/>
        </w:rPr>
        <w:t>de De</w:t>
      </w:r>
      <w:r>
        <w:rPr>
          <w:rFonts w:ascii="Times" w:hAnsi="Times" w:cs="Times"/>
          <w:b/>
          <w:bCs/>
          <w:color w:val="548DD4"/>
          <w:sz w:val="26"/>
          <w:szCs w:val="26"/>
        </w:rPr>
        <w:t>ğ</w:t>
      </w:r>
      <w:r>
        <w:rPr>
          <w:rFonts w:ascii="Times New Roman" w:hAnsi="Times New Roman"/>
          <w:b/>
          <w:bCs/>
          <w:color w:val="548DD4"/>
          <w:sz w:val="26"/>
          <w:szCs w:val="26"/>
        </w:rPr>
        <w:t>i</w:t>
      </w:r>
      <w:r>
        <w:rPr>
          <w:rFonts w:ascii="Times" w:hAnsi="Times" w:cs="Times"/>
          <w:b/>
          <w:bCs/>
          <w:color w:val="548DD4"/>
          <w:sz w:val="26"/>
          <w:szCs w:val="26"/>
        </w:rPr>
        <w:t>ş</w:t>
      </w:r>
      <w:r>
        <w:rPr>
          <w:rFonts w:ascii="Times New Roman" w:hAnsi="Times New Roman"/>
          <w:b/>
          <w:bCs/>
          <w:color w:val="548DD4"/>
          <w:sz w:val="26"/>
          <w:szCs w:val="26"/>
        </w:rPr>
        <w:t>iklik</w:t>
      </w:r>
    </w:p>
    <w:p w:rsidR="00B0521A" w:rsidRDefault="00B0521A" w:rsidP="00B0521A">
      <w:pPr>
        <w:jc w:val="both"/>
        <w:rPr>
          <w:rFonts w:ascii="Times New Roman" w:hAnsi="Times New Roman"/>
        </w:rPr>
      </w:pPr>
    </w:p>
    <w:p w:rsidR="00B0521A" w:rsidRDefault="00B0521A" w:rsidP="00B0521A">
      <w:pPr>
        <w:jc w:val="both"/>
        <w:rPr>
          <w:rFonts w:ascii="Times New Roman" w:hAnsi="Times New Roman"/>
        </w:rPr>
      </w:pPr>
      <w:r>
        <w:rPr>
          <w:rFonts w:ascii="Times New Roman" w:hAnsi="Times New Roman"/>
        </w:rPr>
        <w:t xml:space="preserve">Kambiyo mevzuatı çerçevesindeki Türk Parasının Kıymetini Koruma Hakkında 32 Sayılı Karara İlişkin Tebliğ, 30.12.2015 tarihli 29578 sayılı Resmi </w:t>
      </w:r>
      <w:proofErr w:type="spellStart"/>
      <w:r>
        <w:rPr>
          <w:rFonts w:ascii="Times New Roman" w:hAnsi="Times New Roman"/>
        </w:rPr>
        <w:t>Gazete’de</w:t>
      </w:r>
      <w:proofErr w:type="spellEnd"/>
      <w:r>
        <w:rPr>
          <w:rFonts w:ascii="Times New Roman" w:hAnsi="Times New Roman"/>
        </w:rPr>
        <w:t xml:space="preserve"> yayımlanan </w:t>
      </w:r>
      <w:r>
        <w:rPr>
          <w:rFonts w:ascii="Times New Roman" w:hAnsi="Times New Roman"/>
          <w:i/>
          <w:iCs/>
        </w:rPr>
        <w:t>Türk Parası Kıymetini Koruma Hakkında 32 Sayılı Karara İlişkin Tebliğ (Tebliğ No: 2008-32/34)’de Değişiklik Yapılmasına Dair Tebliğ</w:t>
      </w:r>
      <w:r>
        <w:rPr>
          <w:rFonts w:ascii="Times New Roman" w:hAnsi="Times New Roman"/>
        </w:rPr>
        <w:t xml:space="preserve"> ile değiştirilmiştir. Yeni tebliğdeki değişiklikler aşağıdaki gibidir:</w:t>
      </w:r>
    </w:p>
    <w:p w:rsidR="00B0521A" w:rsidRDefault="00B0521A" w:rsidP="00B0521A">
      <w:pPr>
        <w:jc w:val="both"/>
        <w:rPr>
          <w:rFonts w:ascii="Times New Roman" w:hAnsi="Times New Roman"/>
        </w:rPr>
      </w:pPr>
    </w:p>
    <w:p w:rsidR="00B0521A" w:rsidRDefault="00B0521A" w:rsidP="00B0521A">
      <w:pPr>
        <w:pStyle w:val="ListParagraph"/>
        <w:numPr>
          <w:ilvl w:val="0"/>
          <w:numId w:val="10"/>
        </w:numPr>
        <w:spacing w:after="200"/>
        <w:jc w:val="both"/>
        <w:rPr>
          <w:rFonts w:ascii="Times New Roman" w:hAnsi="Times New Roman"/>
        </w:rPr>
      </w:pPr>
      <w:r>
        <w:rPr>
          <w:rFonts w:ascii="Times New Roman" w:hAnsi="Times New Roman"/>
        </w:rPr>
        <w:t>Yolcu beraberinde taşınan TL ve dövize ilişkin:</w:t>
      </w:r>
    </w:p>
    <w:p w:rsidR="00B0521A" w:rsidRDefault="00B0521A" w:rsidP="00B0521A">
      <w:pPr>
        <w:pStyle w:val="ListParagraph"/>
        <w:numPr>
          <w:ilvl w:val="1"/>
          <w:numId w:val="10"/>
        </w:numPr>
        <w:spacing w:after="200"/>
        <w:jc w:val="both"/>
        <w:rPr>
          <w:rFonts w:ascii="Times New Roman" w:hAnsi="Times New Roman"/>
        </w:rPr>
      </w:pPr>
      <w:r>
        <w:rPr>
          <w:rFonts w:ascii="Times New Roman" w:hAnsi="Times New Roman"/>
        </w:rPr>
        <w:t>Yolcu beraberi yapılan 25.000 TL’yi aşan Türk parası ve Türk parası ile ödemeyi sağlayan belge ya da 10.000 EUR ya da eşitini aşan döviz çıkışlarında gümrük idarelerine Gümrük ve Ticaret Bakanlığı tarafından yayımlanan nakit beyan formu ile beyanda bulunulur. Bu bildirimde bulunulmaması veya yanlış ya da yanıltıcı beyanda bulunulduğunun tespiti halinde söz konusu değerler gümrük idaresince muhafaza altına alınır ve durum şüpheli kabul edilerek Mali Suçları Araştırma Kurulu Başkanlığına bildirilir. Ayrıca Cumhuriyet Savcılıklarına bildirimde bulunulur.</w:t>
      </w:r>
    </w:p>
    <w:p w:rsidR="00B0521A" w:rsidRDefault="00B0521A" w:rsidP="00B0521A">
      <w:pPr>
        <w:pStyle w:val="ListParagraph"/>
        <w:numPr>
          <w:ilvl w:val="1"/>
          <w:numId w:val="10"/>
        </w:numPr>
        <w:spacing w:after="200"/>
        <w:jc w:val="both"/>
        <w:rPr>
          <w:rFonts w:ascii="Times New Roman" w:hAnsi="Times New Roman"/>
        </w:rPr>
      </w:pPr>
      <w:r>
        <w:rPr>
          <w:rFonts w:ascii="Times New Roman" w:hAnsi="Times New Roman"/>
        </w:rPr>
        <w:t>Gümrük idareleri, yurt dışına yapılan 50.000 ABD Doları karşılığını veya eşitini aşan Türk parası çıkışlarına ya da efektif çıkışlarına ilişkin bilgileri aylık olarak Merkez Bankasına bildirirler.</w:t>
      </w:r>
    </w:p>
    <w:p w:rsidR="00B0521A" w:rsidRDefault="00B0521A" w:rsidP="00B0521A">
      <w:pPr>
        <w:pStyle w:val="ListParagraph"/>
        <w:jc w:val="both"/>
        <w:rPr>
          <w:rFonts w:ascii="Times New Roman" w:hAnsi="Times New Roman"/>
        </w:rPr>
      </w:pPr>
    </w:p>
    <w:p w:rsidR="00B0521A" w:rsidRDefault="00B0521A" w:rsidP="00B0521A">
      <w:pPr>
        <w:pStyle w:val="ListParagraph"/>
        <w:numPr>
          <w:ilvl w:val="0"/>
          <w:numId w:val="10"/>
        </w:numPr>
        <w:spacing w:after="200"/>
        <w:jc w:val="both"/>
        <w:rPr>
          <w:rFonts w:ascii="Times New Roman" w:hAnsi="Times New Roman"/>
        </w:rPr>
      </w:pPr>
      <w:r>
        <w:rPr>
          <w:rFonts w:ascii="Times New Roman" w:hAnsi="Times New Roman"/>
        </w:rPr>
        <w:t>Yurtdışına yapılan transferlere ilişkin:</w:t>
      </w:r>
    </w:p>
    <w:p w:rsidR="00B0521A" w:rsidRDefault="00B0521A" w:rsidP="00B0521A">
      <w:pPr>
        <w:pStyle w:val="ListParagraph"/>
        <w:numPr>
          <w:ilvl w:val="1"/>
          <w:numId w:val="10"/>
        </w:numPr>
        <w:spacing w:after="200"/>
        <w:jc w:val="both"/>
        <w:rPr>
          <w:rFonts w:ascii="Times New Roman" w:hAnsi="Times New Roman"/>
        </w:rPr>
      </w:pPr>
      <w:r>
        <w:rPr>
          <w:rFonts w:ascii="Times New Roman" w:hAnsi="Times New Roman"/>
        </w:rPr>
        <w:t>Bankalar, ithalat, ihracat ve görünmeyen işlemler dışındaki yurt dışına yapılan 50.000 ABD Doları ve eşiti dövizi aşan transferlere (Döviz tevdiat hesaplarından yapılan transferler dâhil) ilişkin bilgileri, transfer tarihinden itibaren otuz gün içinde Merkez Bankasına bildirirler.</w:t>
      </w:r>
    </w:p>
    <w:p w:rsidR="00B0521A" w:rsidRDefault="00B0521A" w:rsidP="00B0521A">
      <w:pPr>
        <w:pStyle w:val="ListParagraph"/>
        <w:jc w:val="both"/>
        <w:rPr>
          <w:rFonts w:ascii="Times New Roman" w:hAnsi="Times New Roman"/>
        </w:rPr>
      </w:pPr>
    </w:p>
    <w:p w:rsidR="00B0521A" w:rsidRDefault="00B0521A" w:rsidP="00B0521A">
      <w:pPr>
        <w:pStyle w:val="ListParagraph"/>
        <w:numPr>
          <w:ilvl w:val="0"/>
          <w:numId w:val="10"/>
        </w:numPr>
        <w:spacing w:after="200"/>
        <w:jc w:val="both"/>
        <w:rPr>
          <w:rFonts w:ascii="Times New Roman" w:hAnsi="Times New Roman"/>
        </w:rPr>
      </w:pPr>
      <w:r>
        <w:rPr>
          <w:rFonts w:ascii="Times New Roman" w:hAnsi="Times New Roman"/>
        </w:rPr>
        <w:t xml:space="preserve">Yurtdışına sermaye ihracında mevcutta doldurulup Hazine Müsteşarlığı’na gönderilmesi gereken formlar ayrıca Ekonomi Bakanlığı’na da gönderilecektir. </w:t>
      </w:r>
    </w:p>
    <w:p w:rsidR="00B0521A" w:rsidRDefault="00B0521A" w:rsidP="00B0521A">
      <w:pPr>
        <w:jc w:val="both"/>
        <w:rPr>
          <w:rFonts w:ascii="Times New Roman" w:hAnsi="Times New Roman"/>
        </w:rPr>
      </w:pPr>
      <w:r>
        <w:rPr>
          <w:rFonts w:ascii="Times New Roman" w:hAnsi="Times New Roman"/>
        </w:rPr>
        <w:t>Tebliğ yayın tarihine yürürlüğe girmiştir.</w:t>
      </w:r>
    </w:p>
    <w:p w:rsidR="00B0521A" w:rsidRDefault="00B0521A" w:rsidP="00B0521A">
      <w:pPr>
        <w:jc w:val="both"/>
        <w:rPr>
          <w:rFonts w:ascii="Times New Roman" w:hAnsi="Times New Roman"/>
        </w:rPr>
      </w:pPr>
    </w:p>
    <w:p w:rsidR="00A12303" w:rsidRDefault="00B0521A" w:rsidP="00B0521A">
      <w:r>
        <w:rPr>
          <w:rFonts w:ascii="Times New Roman" w:hAnsi="Times New Roman"/>
        </w:rPr>
        <w:t>Saygılarımızla,</w:t>
      </w:r>
      <w:bookmarkStart w:id="0" w:name="_GoBack"/>
      <w:bookmarkEnd w:id="0"/>
    </w:p>
    <w:sectPr w:rsidR="00A12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3AAD"/>
    <w:multiLevelType w:val="multilevel"/>
    <w:tmpl w:val="D1E01F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AA56149"/>
    <w:multiLevelType w:val="hybridMultilevel"/>
    <w:tmpl w:val="D74870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1A"/>
    <w:rsid w:val="00686790"/>
    <w:rsid w:val="00A12303"/>
    <w:rsid w:val="00B0521A"/>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55B7E-974C-4706-93D8-746C1681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1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86790"/>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790"/>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6790"/>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6790"/>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6790"/>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6790"/>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679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679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679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67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67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67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67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67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67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67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679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8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2016-01-04T08:19:00Z</dcterms:created>
  <dcterms:modified xsi:type="dcterms:W3CDTF">2016-01-04T08:21:00Z</dcterms:modified>
</cp:coreProperties>
</file>