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70" w:rsidRPr="00230670" w:rsidRDefault="00230670" w:rsidP="00230670">
      <w:pPr>
        <w:autoSpaceDE w:val="0"/>
        <w:autoSpaceDN w:val="0"/>
        <w:rPr>
          <w:rFonts w:ascii="Times New Roman" w:hAnsi="Times New Roman"/>
          <w:b/>
          <w:bCs/>
          <w:color w:val="5B9BD5"/>
          <w:lang w:eastAsia="tr-TR"/>
        </w:rPr>
      </w:pPr>
      <w:r w:rsidRPr="00230670">
        <w:rPr>
          <w:rFonts w:ascii="Times New Roman" w:hAnsi="Times New Roman"/>
          <w:b/>
          <w:bCs/>
          <w:color w:val="5B9BD5"/>
          <w:lang w:eastAsia="tr-TR"/>
        </w:rPr>
        <w:t>453, 454 ve 455 SIRA NO’LU VERGİ USUL KANUNU GENEL TEBLİĞLERİ</w:t>
      </w:r>
    </w:p>
    <w:p w:rsidR="00230670" w:rsidRPr="00230670" w:rsidRDefault="00230670" w:rsidP="00230670">
      <w:pPr>
        <w:spacing w:before="56" w:line="240" w:lineRule="atLeast"/>
        <w:rPr>
          <w:rFonts w:ascii="Times New Roman" w:hAnsi="Times New Roman"/>
          <w:lang w:eastAsia="tr-TR"/>
        </w:rPr>
      </w:pPr>
    </w:p>
    <w:p w:rsidR="00230670" w:rsidRPr="00230670" w:rsidRDefault="00230670" w:rsidP="00230670">
      <w:pPr>
        <w:spacing w:before="56" w:line="240" w:lineRule="atLeast"/>
        <w:rPr>
          <w:rFonts w:ascii="Times New Roman" w:hAnsi="Times New Roman"/>
          <w:lang w:eastAsia="tr-TR"/>
        </w:rPr>
      </w:pPr>
      <w:r w:rsidRPr="00230670">
        <w:rPr>
          <w:rFonts w:ascii="Times New Roman" w:hAnsi="Times New Roman"/>
          <w:lang w:eastAsia="tr-TR"/>
        </w:rPr>
        <w:t xml:space="preserve">29392 sayılı ve 20 Haziran 2015 tarihli Resmi </w:t>
      </w:r>
      <w:proofErr w:type="spellStart"/>
      <w:r w:rsidRPr="00230670">
        <w:rPr>
          <w:rFonts w:ascii="Times New Roman" w:hAnsi="Times New Roman"/>
          <w:lang w:eastAsia="tr-TR"/>
        </w:rPr>
        <w:t>Gazete’de</w:t>
      </w:r>
      <w:proofErr w:type="spellEnd"/>
      <w:r w:rsidRPr="00230670">
        <w:rPr>
          <w:rFonts w:ascii="Times New Roman" w:hAnsi="Times New Roman"/>
          <w:lang w:eastAsia="tr-TR"/>
        </w:rPr>
        <w:t xml:space="preserve"> 453, 454 ve 455 seri </w:t>
      </w:r>
      <w:proofErr w:type="spellStart"/>
      <w:r w:rsidRPr="00230670">
        <w:rPr>
          <w:rFonts w:ascii="Times New Roman" w:hAnsi="Times New Roman"/>
          <w:lang w:eastAsia="tr-TR"/>
        </w:rPr>
        <w:t>no’lu</w:t>
      </w:r>
      <w:proofErr w:type="spellEnd"/>
      <w:r w:rsidRPr="00230670">
        <w:rPr>
          <w:rFonts w:ascii="Times New Roman" w:hAnsi="Times New Roman"/>
          <w:lang w:eastAsia="tr-TR"/>
        </w:rPr>
        <w:t xml:space="preserve"> Vergi Usul Kanunu Genel Tebliğleri yayınlanmıştır. İlgili Tebliğler </w:t>
      </w:r>
      <w:r w:rsidRPr="00230670">
        <w:rPr>
          <w:rFonts w:ascii="Times New Roman" w:hAnsi="Times New Roman"/>
          <w:b/>
          <w:bCs/>
          <w:lang w:eastAsia="tr-TR"/>
        </w:rPr>
        <w:t>e-yoklama sistemine ilişkin detaylar, e-fatura ve e-defter kullanma zorunluluğu getirilen mükelleflerin genişletilmesi ve vergi borçlularının duyurulması</w:t>
      </w:r>
      <w:r w:rsidRPr="00230670">
        <w:rPr>
          <w:rFonts w:ascii="Times New Roman" w:hAnsi="Times New Roman"/>
          <w:lang w:eastAsia="tr-TR"/>
        </w:rPr>
        <w:t xml:space="preserve"> ile ilgili açıklamalarda bulunmakta olup tebliğlerin özetleri aşağıdaki gibidir:</w:t>
      </w:r>
    </w:p>
    <w:p w:rsidR="00230670" w:rsidRPr="00230670" w:rsidRDefault="00230670" w:rsidP="00230670">
      <w:pPr>
        <w:spacing w:before="56" w:line="240" w:lineRule="atLeast"/>
        <w:rPr>
          <w:rFonts w:ascii="Times New Roman" w:hAnsi="Times New Roman"/>
          <w:lang w:eastAsia="tr-TR"/>
        </w:rPr>
      </w:pPr>
    </w:p>
    <w:p w:rsidR="00230670" w:rsidRPr="00230670" w:rsidRDefault="00230670" w:rsidP="00230670">
      <w:pPr>
        <w:autoSpaceDE w:val="0"/>
        <w:autoSpaceDN w:val="0"/>
        <w:rPr>
          <w:rFonts w:ascii="Times New Roman" w:hAnsi="Times New Roman"/>
          <w:b/>
          <w:bCs/>
          <w:color w:val="5B9BD5"/>
          <w:lang w:eastAsia="tr-TR"/>
        </w:rPr>
      </w:pPr>
      <w:r w:rsidRPr="00230670">
        <w:rPr>
          <w:rFonts w:ascii="Times New Roman" w:hAnsi="Times New Roman"/>
          <w:b/>
          <w:bCs/>
          <w:color w:val="5B9BD5"/>
          <w:lang w:eastAsia="tr-TR"/>
        </w:rPr>
        <w:t>Vergi Usul Kanunu Genel Tebliği (Sıra No: 453)</w:t>
      </w:r>
    </w:p>
    <w:p w:rsidR="00230670" w:rsidRPr="00230670" w:rsidRDefault="00230670" w:rsidP="00230670">
      <w:pPr>
        <w:spacing w:before="56" w:line="240" w:lineRule="atLeast"/>
        <w:rPr>
          <w:rFonts w:ascii="Times New Roman" w:hAnsi="Times New Roman"/>
          <w:color w:val="1F497D"/>
          <w:lang w:eastAsia="tr-TR"/>
        </w:rPr>
      </w:pPr>
    </w:p>
    <w:p w:rsidR="00230670" w:rsidRPr="00230670" w:rsidRDefault="00230670" w:rsidP="00230670">
      <w:pPr>
        <w:spacing w:before="56" w:line="240" w:lineRule="atLeast"/>
        <w:rPr>
          <w:rFonts w:ascii="Times New Roman" w:hAnsi="Times New Roman"/>
          <w:lang w:eastAsia="tr-TR"/>
        </w:rPr>
      </w:pPr>
      <w:r w:rsidRPr="00230670">
        <w:rPr>
          <w:rFonts w:ascii="Times New Roman" w:hAnsi="Times New Roman"/>
          <w:lang w:eastAsia="tr-TR"/>
        </w:rPr>
        <w:t xml:space="preserve">Tebliğ </w:t>
      </w:r>
      <w:proofErr w:type="gramStart"/>
      <w:r w:rsidRPr="00230670">
        <w:rPr>
          <w:rFonts w:ascii="Times New Roman" w:hAnsi="Times New Roman"/>
          <w:lang w:eastAsia="tr-TR"/>
        </w:rPr>
        <w:t>ile;</w:t>
      </w:r>
      <w:proofErr w:type="gramEnd"/>
      <w:r w:rsidRPr="00230670">
        <w:rPr>
          <w:rFonts w:ascii="Times New Roman" w:hAnsi="Times New Roman"/>
          <w:lang w:eastAsia="tr-TR"/>
        </w:rPr>
        <w:t xml:space="preserve"> 213 sayılı Vergi Usul Kanunu’na 132/A maddesi, 6637 sayılı Kanuna ise 6ncı madde eklenmiştir. Söz konusu eklenen maddelerde, Elektronik Yoklama Sisteminin uygulanmasına ilişkin açıklamalara yer verilmiş olup, bu uygulama </w:t>
      </w:r>
      <w:proofErr w:type="gramStart"/>
      <w:r w:rsidRPr="00230670">
        <w:rPr>
          <w:rFonts w:ascii="Times New Roman" w:hAnsi="Times New Roman"/>
          <w:lang w:eastAsia="tr-TR"/>
        </w:rPr>
        <w:t>1/9/2015</w:t>
      </w:r>
      <w:proofErr w:type="gramEnd"/>
      <w:r w:rsidRPr="00230670">
        <w:rPr>
          <w:rFonts w:ascii="Times New Roman" w:hAnsi="Times New Roman"/>
          <w:lang w:eastAsia="tr-TR"/>
        </w:rPr>
        <w:t xml:space="preserve"> tarihinden itibaren başlanacaktır.</w:t>
      </w:r>
    </w:p>
    <w:p w:rsidR="00230670" w:rsidRPr="00230670" w:rsidRDefault="00230670" w:rsidP="00230670">
      <w:pPr>
        <w:spacing w:before="56" w:line="240" w:lineRule="atLeast"/>
        <w:rPr>
          <w:rFonts w:ascii="Times New Roman" w:hAnsi="Times New Roman"/>
          <w:lang w:eastAsia="tr-TR"/>
        </w:rPr>
      </w:pPr>
    </w:p>
    <w:p w:rsidR="00230670" w:rsidRPr="00230670" w:rsidRDefault="00230670" w:rsidP="00230670">
      <w:pPr>
        <w:spacing w:line="240" w:lineRule="atLeast"/>
        <w:rPr>
          <w:rFonts w:ascii="Times New Roman" w:hAnsi="Times New Roman"/>
          <w:lang w:eastAsia="tr-TR"/>
        </w:rPr>
      </w:pPr>
      <w:r w:rsidRPr="00230670">
        <w:rPr>
          <w:rFonts w:ascii="Times New Roman" w:hAnsi="Times New Roman"/>
          <w:lang w:eastAsia="tr-TR"/>
        </w:rPr>
        <w:t xml:space="preserve">Bu sistem, yoklama faaliyetlerine ilişkin süreçlerin elektronik ortamda yürütülmesini, yoklama faaliyeti sonucunda kayıt altına alınan delil niteliğindeki verilerin (resim, video, koordinat vs. </w:t>
      </w:r>
      <w:proofErr w:type="gramStart"/>
      <w:r w:rsidRPr="00230670">
        <w:rPr>
          <w:rFonts w:ascii="Times New Roman" w:hAnsi="Times New Roman"/>
          <w:lang w:eastAsia="tr-TR"/>
        </w:rPr>
        <w:t>dahil</w:t>
      </w:r>
      <w:proofErr w:type="gramEnd"/>
      <w:r w:rsidRPr="00230670">
        <w:rPr>
          <w:rFonts w:ascii="Times New Roman" w:hAnsi="Times New Roman"/>
          <w:lang w:eastAsia="tr-TR"/>
        </w:rPr>
        <w:t>)  Başkanlık ve ilgilisine elektronik ortamda iletilmesini sağlayan sistemdir. E-Yoklama Sistemi ile yoklama talebinin oluşturulması, oluşturulan talebin yoklamaya yetkililere iletilmesi, yoklama fişinin oluşturulması, kayıt altına alınması ve onaylanması ile yoklama fişinin ilgilisine iletilmesi işlemleri elektronik ortamda gerçekleştirilecektir.</w:t>
      </w:r>
    </w:p>
    <w:p w:rsidR="00230670" w:rsidRPr="00230670" w:rsidRDefault="00230670" w:rsidP="00230670">
      <w:pPr>
        <w:spacing w:line="240" w:lineRule="atLeast"/>
        <w:rPr>
          <w:rFonts w:ascii="Times New Roman" w:hAnsi="Times New Roman"/>
          <w:lang w:eastAsia="tr-TR"/>
        </w:rPr>
      </w:pPr>
    </w:p>
    <w:p w:rsidR="00230670" w:rsidRPr="00230670" w:rsidRDefault="00230670" w:rsidP="00230670">
      <w:pPr>
        <w:autoSpaceDE w:val="0"/>
        <w:autoSpaceDN w:val="0"/>
        <w:rPr>
          <w:rFonts w:ascii="Times New Roman" w:hAnsi="Times New Roman"/>
          <w:b/>
          <w:bCs/>
          <w:color w:val="5B9BD5"/>
          <w:lang w:eastAsia="tr-TR"/>
        </w:rPr>
      </w:pPr>
      <w:r w:rsidRPr="00230670">
        <w:rPr>
          <w:rFonts w:ascii="Times New Roman" w:hAnsi="Times New Roman"/>
          <w:b/>
          <w:bCs/>
          <w:color w:val="5B9BD5"/>
          <w:lang w:eastAsia="tr-TR"/>
        </w:rPr>
        <w:t>Vergi Usul Kanunu Genel Tebliği (Sıra No: 454)</w:t>
      </w:r>
    </w:p>
    <w:p w:rsidR="00230670" w:rsidRPr="00230670" w:rsidRDefault="00230670" w:rsidP="00230670">
      <w:pPr>
        <w:autoSpaceDE w:val="0"/>
        <w:autoSpaceDN w:val="0"/>
        <w:rPr>
          <w:rFonts w:ascii="Times New Roman" w:hAnsi="Times New Roman"/>
          <w:b/>
          <w:bCs/>
          <w:color w:val="5B9BD5"/>
          <w:lang w:eastAsia="tr-TR"/>
        </w:rPr>
      </w:pPr>
    </w:p>
    <w:p w:rsidR="00230670" w:rsidRPr="00230670" w:rsidRDefault="00230670" w:rsidP="00230670">
      <w:pPr>
        <w:spacing w:before="56" w:line="240" w:lineRule="atLeast"/>
        <w:rPr>
          <w:rFonts w:ascii="Times New Roman" w:hAnsi="Times New Roman"/>
          <w:color w:val="000000"/>
          <w:lang w:eastAsia="tr-TR"/>
        </w:rPr>
      </w:pPr>
      <w:r w:rsidRPr="00230670">
        <w:rPr>
          <w:rFonts w:ascii="Times New Roman" w:hAnsi="Times New Roman"/>
          <w:color w:val="000000"/>
          <w:lang w:eastAsia="tr-TR"/>
        </w:rPr>
        <w:t>Bu Tebliğ ile getirilen düzenlemeler:</w:t>
      </w:r>
    </w:p>
    <w:p w:rsidR="00230670" w:rsidRPr="00230670" w:rsidRDefault="00230670" w:rsidP="00230670">
      <w:pPr>
        <w:spacing w:line="240" w:lineRule="atLeast"/>
        <w:rPr>
          <w:rFonts w:ascii="Times New Roman" w:hAnsi="Times New Roman"/>
          <w:color w:val="000000"/>
          <w:lang w:eastAsia="tr-TR"/>
        </w:rPr>
      </w:pPr>
    </w:p>
    <w:p w:rsidR="00230670" w:rsidRPr="00230670" w:rsidRDefault="00230670" w:rsidP="00230670">
      <w:pPr>
        <w:pStyle w:val="ListParagraph"/>
        <w:numPr>
          <w:ilvl w:val="0"/>
          <w:numId w:val="1"/>
        </w:numPr>
        <w:spacing w:line="240" w:lineRule="atLeast"/>
        <w:rPr>
          <w:rFonts w:ascii="Times New Roman" w:hAnsi="Times New Roman"/>
          <w:color w:val="000000"/>
          <w:lang w:eastAsia="tr-TR"/>
        </w:rPr>
      </w:pPr>
      <w:r w:rsidRPr="00230670">
        <w:rPr>
          <w:rFonts w:ascii="Times New Roman" w:hAnsi="Times New Roman"/>
          <w:b/>
          <w:bCs/>
          <w:color w:val="000000"/>
          <w:lang w:eastAsia="tr-TR"/>
        </w:rPr>
        <w:t>İlave E-Defter ve E-Fatura Kullanma Zorunluluğu Getirilen Mükellefler;</w:t>
      </w:r>
      <w:r w:rsidRPr="00230670">
        <w:rPr>
          <w:rFonts w:ascii="Times New Roman" w:hAnsi="Times New Roman"/>
          <w:color w:val="000000"/>
          <w:lang w:eastAsia="tr-TR"/>
        </w:rPr>
        <w:t xml:space="preserve"> 421 sıra </w:t>
      </w:r>
      <w:proofErr w:type="spellStart"/>
      <w:r w:rsidRPr="00230670">
        <w:rPr>
          <w:rFonts w:ascii="Times New Roman" w:hAnsi="Times New Roman"/>
          <w:color w:val="000000"/>
          <w:lang w:eastAsia="tr-TR"/>
        </w:rPr>
        <w:t>no’lu</w:t>
      </w:r>
      <w:proofErr w:type="spellEnd"/>
      <w:r w:rsidRPr="00230670">
        <w:rPr>
          <w:rFonts w:ascii="Times New Roman" w:hAnsi="Times New Roman"/>
          <w:color w:val="000000"/>
          <w:lang w:eastAsia="tr-TR"/>
        </w:rPr>
        <w:t xml:space="preserve"> Vergi Usul Genel Tebliği ile zorunluluk getirilen mükelleflere ilave olarak aşağıda sayılan mükelleflere e-defter tutma ve e-fatura uygulamasına geçme zorunluluğu getirilmiştir;</w:t>
      </w:r>
    </w:p>
    <w:p w:rsidR="00230670" w:rsidRPr="00230670" w:rsidRDefault="00230670" w:rsidP="00230670">
      <w:pPr>
        <w:pStyle w:val="ListParagraph"/>
        <w:numPr>
          <w:ilvl w:val="0"/>
          <w:numId w:val="2"/>
        </w:numPr>
        <w:spacing w:line="240" w:lineRule="atLeast"/>
        <w:rPr>
          <w:rFonts w:ascii="Times New Roman" w:hAnsi="Times New Roman"/>
          <w:color w:val="000000"/>
          <w:lang w:eastAsia="tr-TR"/>
        </w:rPr>
      </w:pPr>
      <w:r w:rsidRPr="00230670">
        <w:rPr>
          <w:rFonts w:ascii="Times New Roman" w:hAnsi="Times New Roman"/>
          <w:color w:val="000000"/>
          <w:lang w:eastAsia="tr-TR"/>
        </w:rPr>
        <w:t>2014 veya müteakip hesap dönemleri brüt satış hasılatı 10 Milyon TL ve üzeri olan mükellefler (eskiden ÖTV mükellefiyeti olan kurumlardan alış yapanlar kısıtlaması kaldırılmış olup doğrudan brüt satış hasılatı tutarına bakılmaya başlanacaktır) kapsama alınmıştır.</w:t>
      </w:r>
    </w:p>
    <w:p w:rsidR="00230670" w:rsidRPr="00230670" w:rsidRDefault="00230670" w:rsidP="00230670">
      <w:pPr>
        <w:pStyle w:val="ListParagraph"/>
        <w:numPr>
          <w:ilvl w:val="0"/>
          <w:numId w:val="2"/>
        </w:numPr>
        <w:spacing w:line="240" w:lineRule="atLeast"/>
        <w:rPr>
          <w:rFonts w:ascii="Times New Roman" w:hAnsi="Times New Roman"/>
          <w:color w:val="000000"/>
          <w:lang w:eastAsia="tr-TR"/>
        </w:rPr>
      </w:pPr>
      <w:proofErr w:type="gramStart"/>
      <w:r w:rsidRPr="00230670">
        <w:rPr>
          <w:rFonts w:ascii="Times New Roman" w:hAnsi="Times New Roman"/>
          <w:color w:val="000000"/>
          <w:lang w:eastAsia="tr-TR"/>
        </w:rPr>
        <w:t>6/6/2002</w:t>
      </w:r>
      <w:proofErr w:type="gramEnd"/>
      <w:r w:rsidRPr="00230670">
        <w:rPr>
          <w:rFonts w:ascii="Times New Roman" w:hAnsi="Times New Roman"/>
          <w:color w:val="000000"/>
          <w:lang w:eastAsia="tr-TR"/>
        </w:rPr>
        <w:t xml:space="preserve"> tarihli ve 4760 sayılı Özel Tüketim Vergisi Kanununa ekli I sayılı listedeki malların (benzin vb.) imali, ithali, teslimi vb. faaliyetleri nedeniyle Enerji Piyasası Düzenleme Kurumu’ndan lisans alan mükellefler. Bayilik lisansı olanlar, münhasıran bu lisansa sahip olmaları nedeniyle bu bent kapsamında değerlendirilmeyecektir.</w:t>
      </w:r>
    </w:p>
    <w:p w:rsidR="00230670" w:rsidRPr="00230670" w:rsidRDefault="00230670" w:rsidP="00230670">
      <w:pPr>
        <w:pStyle w:val="ListParagraph"/>
        <w:numPr>
          <w:ilvl w:val="0"/>
          <w:numId w:val="2"/>
        </w:numPr>
        <w:spacing w:line="240" w:lineRule="atLeast"/>
        <w:rPr>
          <w:rFonts w:ascii="Times New Roman" w:hAnsi="Times New Roman"/>
          <w:color w:val="000000"/>
          <w:lang w:eastAsia="tr-TR"/>
        </w:rPr>
      </w:pPr>
      <w:r w:rsidRPr="00230670">
        <w:rPr>
          <w:rFonts w:ascii="Times New Roman" w:hAnsi="Times New Roman"/>
          <w:color w:val="000000"/>
          <w:lang w:eastAsia="tr-TR"/>
        </w:rPr>
        <w:t>Özel Tüketim Vergisi Kanununa ekli III sayılı listedeki malları (tütün, alkollü içecekler vb.) imal, inşa ve ithal eden mükellefler.</w:t>
      </w:r>
    </w:p>
    <w:p w:rsidR="00230670" w:rsidRPr="00230670" w:rsidRDefault="00230670" w:rsidP="00230670">
      <w:pPr>
        <w:spacing w:line="240" w:lineRule="atLeast"/>
        <w:ind w:left="360"/>
        <w:rPr>
          <w:rFonts w:ascii="Times New Roman" w:hAnsi="Times New Roman"/>
          <w:color w:val="000000"/>
          <w:lang w:eastAsia="tr-TR"/>
        </w:rPr>
      </w:pPr>
    </w:p>
    <w:p w:rsidR="00230670" w:rsidRPr="00230670" w:rsidRDefault="00230670" w:rsidP="00230670">
      <w:pPr>
        <w:spacing w:line="240" w:lineRule="atLeast"/>
        <w:ind w:left="708"/>
        <w:rPr>
          <w:rFonts w:ascii="Times New Roman" w:hAnsi="Times New Roman"/>
          <w:color w:val="000000"/>
          <w:lang w:eastAsia="tr-TR"/>
        </w:rPr>
      </w:pPr>
      <w:r w:rsidRPr="00230670">
        <w:rPr>
          <w:rFonts w:ascii="Times New Roman" w:hAnsi="Times New Roman"/>
          <w:color w:val="000000"/>
          <w:lang w:eastAsia="tr-TR"/>
        </w:rPr>
        <w:t xml:space="preserve">(a) bendindeki şartı, 2014 hesap döneminde sağlayan mükellefler </w:t>
      </w:r>
      <w:proofErr w:type="gramStart"/>
      <w:r w:rsidRPr="00230670">
        <w:rPr>
          <w:rFonts w:ascii="Times New Roman" w:hAnsi="Times New Roman"/>
          <w:color w:val="000000"/>
          <w:u w:val="single"/>
          <w:lang w:eastAsia="tr-TR"/>
        </w:rPr>
        <w:t>1/1/2016</w:t>
      </w:r>
      <w:proofErr w:type="gramEnd"/>
      <w:r w:rsidRPr="00230670">
        <w:rPr>
          <w:rFonts w:ascii="Times New Roman" w:hAnsi="Times New Roman"/>
          <w:color w:val="000000"/>
          <w:lang w:eastAsia="tr-TR"/>
        </w:rPr>
        <w:t xml:space="preserve"> tarihinden itibaren, 2015 veya müteakip hesap dönemlerinde sağlayan mükellefler ise ilgili hesap dönemine ilişkin gelir/kurumlar vergisi beyannamesinin verileceği tarihi takip eden hesap döneminin başından itibaren, </w:t>
      </w:r>
    </w:p>
    <w:p w:rsidR="00230670" w:rsidRPr="00230670" w:rsidRDefault="00230670" w:rsidP="00230670">
      <w:pPr>
        <w:spacing w:line="240" w:lineRule="atLeast"/>
        <w:ind w:left="708"/>
        <w:rPr>
          <w:rFonts w:ascii="Times New Roman" w:hAnsi="Times New Roman"/>
          <w:color w:val="000000"/>
          <w:lang w:eastAsia="tr-TR"/>
        </w:rPr>
      </w:pPr>
      <w:r w:rsidRPr="00230670">
        <w:rPr>
          <w:rFonts w:ascii="Times New Roman" w:hAnsi="Times New Roman"/>
          <w:color w:val="000000"/>
          <w:lang w:eastAsia="tr-TR"/>
        </w:rPr>
        <w:t xml:space="preserve">(b) ve (c) bentlerinde sayılanlardan bu Tebliğin yayım tarihinden önce lisans alan veya mükellefiyet tesis ettirenler </w:t>
      </w:r>
      <w:proofErr w:type="gramStart"/>
      <w:r w:rsidRPr="00230670">
        <w:rPr>
          <w:rFonts w:ascii="Times New Roman" w:hAnsi="Times New Roman"/>
          <w:color w:val="000000"/>
          <w:u w:val="single"/>
          <w:lang w:eastAsia="tr-TR"/>
        </w:rPr>
        <w:t>1/1/2016</w:t>
      </w:r>
      <w:proofErr w:type="gramEnd"/>
      <w:r w:rsidRPr="00230670">
        <w:rPr>
          <w:rFonts w:ascii="Times New Roman" w:hAnsi="Times New Roman"/>
          <w:color w:val="000000"/>
          <w:lang w:eastAsia="tr-TR"/>
        </w:rPr>
        <w:t xml:space="preserve"> tarihinden itibaren, bu Tebliğin yayım tarihinden sonra lisans alan veya mükellefiyet tesis ettirenler ise, lisans aldıkları ya da mükellefiyet tesis ettirdikleri tarihi izleyen hesap döneminin başından itibaren elektronik fatura ve elektronik defter uygulamasına geçmek zorundadır. Bununla birlikte, lisans ya da mükellefiyet tesis tarihi ile izleyen hesap dönemi arasındaki sürenin üç aydan kısa olması halinde isteyen mükellefler bir sonraki hesap döneminin başından itibaren e-defter tutabilecekler ve e-Fatura uygulamasına geçebileceklerdir.</w:t>
      </w:r>
    </w:p>
    <w:p w:rsidR="00230670" w:rsidRPr="00230670" w:rsidRDefault="00230670" w:rsidP="00230670">
      <w:pPr>
        <w:spacing w:line="240" w:lineRule="atLeast"/>
        <w:ind w:left="708"/>
        <w:rPr>
          <w:rFonts w:ascii="Times New Roman" w:hAnsi="Times New Roman"/>
          <w:color w:val="000000"/>
          <w:lang w:eastAsia="tr-TR"/>
        </w:rPr>
      </w:pPr>
    </w:p>
    <w:p w:rsidR="00230670" w:rsidRPr="00230670" w:rsidRDefault="00230670" w:rsidP="00230670">
      <w:pPr>
        <w:pStyle w:val="ListParagraph"/>
        <w:numPr>
          <w:ilvl w:val="0"/>
          <w:numId w:val="1"/>
        </w:numPr>
        <w:spacing w:line="240" w:lineRule="atLeast"/>
        <w:rPr>
          <w:rFonts w:ascii="Times New Roman" w:hAnsi="Times New Roman"/>
          <w:color w:val="000000"/>
          <w:lang w:eastAsia="tr-TR"/>
        </w:rPr>
      </w:pPr>
      <w:r w:rsidRPr="00230670">
        <w:rPr>
          <w:rFonts w:ascii="Times New Roman" w:hAnsi="Times New Roman"/>
          <w:b/>
          <w:bCs/>
          <w:color w:val="000000"/>
          <w:lang w:eastAsia="tr-TR"/>
        </w:rPr>
        <w:lastRenderedPageBreak/>
        <w:t>İhracat İşlemlerinde e-Fatura Uygulaması</w:t>
      </w:r>
      <w:r w:rsidRPr="00230670">
        <w:rPr>
          <w:rFonts w:ascii="Times New Roman" w:hAnsi="Times New Roman"/>
          <w:color w:val="000000"/>
          <w:lang w:eastAsia="tr-TR"/>
        </w:rPr>
        <w:t xml:space="preserve">; e-Fatura uygulamasına kayıtlı olan mükelleflerden, </w:t>
      </w:r>
      <w:r w:rsidRPr="00230670">
        <w:rPr>
          <w:rFonts w:ascii="Times New Roman" w:hAnsi="Times New Roman"/>
          <w:color w:val="000000"/>
          <w:u w:val="single"/>
          <w:lang w:eastAsia="tr-TR"/>
        </w:rPr>
        <w:t xml:space="preserve">KDV Kanunu’nun Mal ve Hizmet İhracı </w:t>
      </w:r>
      <w:r w:rsidRPr="00230670">
        <w:rPr>
          <w:rFonts w:ascii="Times New Roman" w:hAnsi="Times New Roman"/>
          <w:color w:val="000000"/>
          <w:lang w:eastAsia="tr-TR"/>
        </w:rPr>
        <w:t>adlı 11inci</w:t>
      </w:r>
      <w:r w:rsidRPr="00230670">
        <w:rPr>
          <w:rFonts w:ascii="Times New Roman" w:hAnsi="Times New Roman"/>
          <w:color w:val="000000"/>
          <w:u w:val="single"/>
          <w:lang w:eastAsia="tr-TR"/>
        </w:rPr>
        <w:t xml:space="preserve"> </w:t>
      </w:r>
      <w:r w:rsidRPr="00230670">
        <w:rPr>
          <w:rFonts w:ascii="Times New Roman" w:hAnsi="Times New Roman"/>
          <w:color w:val="000000"/>
          <w:lang w:eastAsia="tr-TR"/>
        </w:rPr>
        <w:t>maddesi kapsamındaki</w:t>
      </w:r>
      <w:r w:rsidRPr="00230670">
        <w:rPr>
          <w:rFonts w:ascii="Times New Roman" w:hAnsi="Times New Roman"/>
          <w:color w:val="000000"/>
          <w:u w:val="single"/>
          <w:lang w:eastAsia="tr-TR"/>
        </w:rPr>
        <w:t xml:space="preserve"> mal ihracı</w:t>
      </w:r>
      <w:r w:rsidRPr="00230670">
        <w:rPr>
          <w:rFonts w:ascii="Times New Roman" w:hAnsi="Times New Roman"/>
          <w:color w:val="000000"/>
          <w:lang w:eastAsia="tr-TR"/>
        </w:rPr>
        <w:t xml:space="preserve"> ve yolcu beraberi eşya ihracı (Türkiye’de ikamet etmeyenlere KDV hesaplanarak yapılan satışlar) kapsamında fatura düzenleyecek olanlar, bahsi geçen faturalarını da </w:t>
      </w:r>
      <w:proofErr w:type="gramStart"/>
      <w:r w:rsidRPr="00230670">
        <w:rPr>
          <w:rFonts w:ascii="Times New Roman" w:hAnsi="Times New Roman"/>
          <w:color w:val="000000"/>
          <w:lang w:eastAsia="tr-TR"/>
        </w:rPr>
        <w:t>1/1/2016</w:t>
      </w:r>
      <w:proofErr w:type="gramEnd"/>
      <w:r w:rsidRPr="00230670">
        <w:rPr>
          <w:rFonts w:ascii="Times New Roman" w:hAnsi="Times New Roman"/>
          <w:color w:val="000000"/>
          <w:lang w:eastAsia="tr-TR"/>
        </w:rPr>
        <w:t xml:space="preserve"> tarihinden itibaren e-fatura olarak düzenleyec</w:t>
      </w:r>
      <w:bookmarkStart w:id="0" w:name="_GoBack"/>
      <w:bookmarkEnd w:id="0"/>
      <w:r w:rsidRPr="00230670">
        <w:rPr>
          <w:rFonts w:ascii="Times New Roman" w:hAnsi="Times New Roman"/>
          <w:color w:val="000000"/>
          <w:lang w:eastAsia="tr-TR"/>
        </w:rPr>
        <w:t xml:space="preserve">eklerdir. Söz konusu faturaların e-fatura olarak düzenlenmesi ve gönderilmesine ilişkin usul ve esaslar ile uygulamadan yararlanma yöntemleri </w:t>
      </w:r>
      <w:hyperlink r:id="rId5" w:history="1">
        <w:r w:rsidRPr="00230670">
          <w:rPr>
            <w:rStyle w:val="Hyperlink"/>
            <w:rFonts w:ascii="Times New Roman" w:hAnsi="Times New Roman"/>
            <w:lang w:eastAsia="tr-TR"/>
          </w:rPr>
          <w:t>www.efatura.gov.tr</w:t>
        </w:r>
      </w:hyperlink>
      <w:r w:rsidRPr="00230670">
        <w:rPr>
          <w:rFonts w:ascii="Times New Roman" w:hAnsi="Times New Roman"/>
          <w:color w:val="000000"/>
          <w:lang w:eastAsia="tr-TR"/>
        </w:rPr>
        <w:t xml:space="preserve"> adresinde yayımlanan “e-Fatura Uygulaması Gümrük İşlemle</w:t>
      </w:r>
      <w:r>
        <w:rPr>
          <w:rFonts w:ascii="Times New Roman" w:hAnsi="Times New Roman"/>
          <w:color w:val="000000"/>
          <w:lang w:eastAsia="tr-TR"/>
        </w:rPr>
        <w:t>ri Kılavuzu’</w:t>
      </w:r>
      <w:r w:rsidRPr="00230670">
        <w:rPr>
          <w:rFonts w:ascii="Times New Roman" w:hAnsi="Times New Roman"/>
          <w:color w:val="000000"/>
          <w:lang w:eastAsia="tr-TR"/>
        </w:rPr>
        <w:t>nda ayrıntılı olarak açıklanacaktır.</w:t>
      </w:r>
    </w:p>
    <w:p w:rsidR="00230670" w:rsidRPr="00230670" w:rsidRDefault="00230670" w:rsidP="00230670">
      <w:pPr>
        <w:spacing w:line="240" w:lineRule="atLeast"/>
        <w:rPr>
          <w:rFonts w:ascii="Times New Roman" w:hAnsi="Times New Roman"/>
          <w:color w:val="000000"/>
          <w:lang w:eastAsia="tr-TR"/>
        </w:rPr>
      </w:pPr>
    </w:p>
    <w:p w:rsidR="00230670" w:rsidRPr="00230670" w:rsidRDefault="00230670" w:rsidP="00230670">
      <w:pPr>
        <w:autoSpaceDE w:val="0"/>
        <w:autoSpaceDN w:val="0"/>
        <w:rPr>
          <w:rFonts w:ascii="Times New Roman" w:hAnsi="Times New Roman"/>
          <w:b/>
          <w:bCs/>
          <w:color w:val="5B9BD5"/>
          <w:lang w:eastAsia="tr-TR"/>
        </w:rPr>
      </w:pPr>
      <w:r w:rsidRPr="00230670">
        <w:rPr>
          <w:rFonts w:ascii="Times New Roman" w:hAnsi="Times New Roman"/>
          <w:b/>
          <w:bCs/>
          <w:color w:val="5B9BD5"/>
          <w:lang w:eastAsia="tr-TR"/>
        </w:rPr>
        <w:t>Vergi Usul Kanunu Genel Tebliği (Sıra No: 455)</w:t>
      </w:r>
    </w:p>
    <w:p w:rsidR="00230670" w:rsidRPr="00230670" w:rsidRDefault="00230670" w:rsidP="00230670">
      <w:pPr>
        <w:spacing w:line="240" w:lineRule="atLeast"/>
        <w:rPr>
          <w:rFonts w:ascii="Times New Roman" w:hAnsi="Times New Roman"/>
          <w:color w:val="000000"/>
          <w:lang w:eastAsia="tr-TR"/>
        </w:rPr>
      </w:pPr>
    </w:p>
    <w:p w:rsidR="00230670" w:rsidRPr="00230670" w:rsidRDefault="00230670" w:rsidP="00230670">
      <w:pPr>
        <w:spacing w:before="56" w:line="240" w:lineRule="atLeast"/>
        <w:rPr>
          <w:rFonts w:ascii="Times New Roman" w:hAnsi="Times New Roman"/>
          <w:lang w:eastAsia="tr-TR"/>
        </w:rPr>
      </w:pPr>
      <w:r w:rsidRPr="00230670">
        <w:rPr>
          <w:rFonts w:ascii="Times New Roman" w:hAnsi="Times New Roman"/>
          <w:lang w:eastAsia="tr-TR"/>
        </w:rPr>
        <w:t>Tebliğ;</w:t>
      </w:r>
      <w:r w:rsidRPr="00230670">
        <w:rPr>
          <w:rStyle w:val="apple-converted-space"/>
          <w:rFonts w:ascii="Times New Roman" w:hAnsi="Times New Roman"/>
          <w:color w:val="4D4C4D"/>
          <w:shd w:val="clear" w:color="auto" w:fill="FFFFFF"/>
        </w:rPr>
        <w:t> </w:t>
      </w:r>
      <w:r w:rsidRPr="00230670">
        <w:rPr>
          <w:rFonts w:ascii="Times New Roman" w:hAnsi="Times New Roman"/>
          <w:lang w:eastAsia="tr-TR"/>
        </w:rPr>
        <w:t xml:space="preserve">Mükelleflerin vergi tarhına esas olan beyanları, kesinleşen vergi ve cezaları ile vadesi geçtiği halde ödenmemiş bulunan vergi ve ceza miktarları Maliye Bakanlığınca açıklanabileceğini ve Maliye Bakanlığının bu yetkisini mahalline devredebileceğine ilişkin bilgiler içermektedir. Bu çerçevede 2015 yılında yapılacak olan açıklamalar; </w:t>
      </w:r>
    </w:p>
    <w:p w:rsidR="00230670" w:rsidRPr="00230670" w:rsidRDefault="00230670" w:rsidP="00230670">
      <w:pPr>
        <w:spacing w:before="56" w:line="240" w:lineRule="atLeast"/>
        <w:rPr>
          <w:rFonts w:ascii="Times New Roman" w:hAnsi="Times New Roman"/>
          <w:lang w:eastAsia="tr-TR"/>
        </w:rPr>
      </w:pPr>
    </w:p>
    <w:p w:rsidR="00230670" w:rsidRPr="00230670" w:rsidRDefault="00230670" w:rsidP="00230670">
      <w:pPr>
        <w:pStyle w:val="ListParagraph"/>
        <w:numPr>
          <w:ilvl w:val="0"/>
          <w:numId w:val="3"/>
        </w:numPr>
        <w:spacing w:line="240" w:lineRule="atLeast"/>
        <w:rPr>
          <w:rFonts w:ascii="Times New Roman" w:hAnsi="Times New Roman"/>
          <w:lang w:eastAsia="tr-TR"/>
        </w:rPr>
      </w:pPr>
      <w:r w:rsidRPr="00230670">
        <w:rPr>
          <w:rFonts w:ascii="Times New Roman" w:hAnsi="Times New Roman"/>
          <w:lang w:eastAsia="tr-TR"/>
        </w:rPr>
        <w:t>Türkiye genelindeki vergi dairelerinde (vergi dairesinin ilan koymaya mahsus yerlerinde asılmak suretiyle) 15 Temmuz 2015 ila 14 Ağustos 2015 tarihleri arasında, 01 Eylül 2015 tarihinden itibaren de Gelir İdaresi Başkanlığı’nın internet sitesinde yapılacak,</w:t>
      </w:r>
    </w:p>
    <w:p w:rsidR="00230670" w:rsidRPr="00230670" w:rsidRDefault="00230670" w:rsidP="00230670">
      <w:pPr>
        <w:pStyle w:val="ListParagraph"/>
        <w:numPr>
          <w:ilvl w:val="0"/>
          <w:numId w:val="3"/>
        </w:numPr>
        <w:spacing w:line="240" w:lineRule="atLeast"/>
        <w:rPr>
          <w:rFonts w:ascii="Times New Roman" w:hAnsi="Times New Roman"/>
          <w:lang w:eastAsia="tr-TR"/>
        </w:rPr>
      </w:pPr>
      <w:r w:rsidRPr="00230670">
        <w:rPr>
          <w:rFonts w:ascii="Times New Roman" w:hAnsi="Times New Roman"/>
          <w:lang w:eastAsia="tr-TR"/>
        </w:rPr>
        <w:t>Açıklama kapsamına, her bir vergi dairesine 250.000 TL ve daha fazla borcu olan veya bu tutar ve üzerinde kesinleşen vergi ve cezası bulunan mükellefler alınacak,</w:t>
      </w:r>
    </w:p>
    <w:p w:rsidR="009D3AF5" w:rsidRPr="00230670" w:rsidRDefault="00230670" w:rsidP="00230670">
      <w:pPr>
        <w:rPr>
          <w:rFonts w:ascii="Times New Roman" w:hAnsi="Times New Roman"/>
        </w:rPr>
      </w:pPr>
      <w:proofErr w:type="gramStart"/>
      <w:r w:rsidRPr="00230670">
        <w:rPr>
          <w:rFonts w:ascii="Times New Roman" w:hAnsi="Times New Roman"/>
          <w:lang w:eastAsia="tr-TR"/>
        </w:rPr>
        <w:t>31/12/2014</w:t>
      </w:r>
      <w:proofErr w:type="gramEnd"/>
      <w:r w:rsidRPr="00230670">
        <w:rPr>
          <w:rFonts w:ascii="Times New Roman" w:hAnsi="Times New Roman"/>
          <w:lang w:eastAsia="tr-TR"/>
        </w:rPr>
        <w:t xml:space="preserve"> tarihi itibarıyla vadesi geldiği halde 30/6/2015 tarihi itibarıyla ödenmemiş bulunan vergi ve cezalar ile 1/6/2014-31/5/2015 tarihleri arasında kesinleşen tarhiyatların dikkate alınacaktır.</w:t>
      </w:r>
    </w:p>
    <w:sectPr w:rsidR="009D3AF5" w:rsidRPr="00230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333A"/>
    <w:multiLevelType w:val="hybridMultilevel"/>
    <w:tmpl w:val="CF6AC732"/>
    <w:lvl w:ilvl="0" w:tplc="041F0017">
      <w:start w:val="1"/>
      <w:numFmt w:val="lowerLetter"/>
      <w:lvlText w:val="%1)"/>
      <w:lvlJc w:val="left"/>
      <w:pPr>
        <w:ind w:left="1080" w:hanging="360"/>
      </w:p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55D066F6"/>
    <w:multiLevelType w:val="hybridMultilevel"/>
    <w:tmpl w:val="F990AECC"/>
    <w:lvl w:ilvl="0" w:tplc="041F000F">
      <w:start w:val="1"/>
      <w:numFmt w:val="decimal"/>
      <w:lvlText w:val="%1."/>
      <w:lvlJc w:val="left"/>
      <w:pPr>
        <w:ind w:left="720" w:hanging="360"/>
      </w:pPr>
      <w:rPr>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6F0D2086"/>
    <w:multiLevelType w:val="hybridMultilevel"/>
    <w:tmpl w:val="CCFA3F7E"/>
    <w:lvl w:ilvl="0" w:tplc="041F0001">
      <w:start w:val="1"/>
      <w:numFmt w:val="bullet"/>
      <w:lvlText w:val=""/>
      <w:lvlJc w:val="left"/>
      <w:pPr>
        <w:ind w:left="720" w:hanging="360"/>
      </w:pPr>
      <w:rPr>
        <w:rFonts w:ascii="Symbol" w:hAnsi="Symbol" w:hint="default"/>
      </w:rPr>
    </w:lvl>
    <w:lvl w:ilvl="1" w:tplc="3C10C528">
      <w:start w:val="2015"/>
      <w:numFmt w:val="bullet"/>
      <w:lvlText w:val="-"/>
      <w:lvlJc w:val="left"/>
      <w:pPr>
        <w:ind w:left="1440" w:hanging="360"/>
      </w:pPr>
      <w:rPr>
        <w:rFonts w:ascii="Times New Roman" w:eastAsia="Calibri"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70"/>
    <w:rsid w:val="00230670"/>
    <w:rsid w:val="009D3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8A44-198C-4246-9186-CE77D64E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6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670"/>
    <w:rPr>
      <w:color w:val="0563C1"/>
      <w:u w:val="single"/>
    </w:rPr>
  </w:style>
  <w:style w:type="paragraph" w:styleId="ListParagraph">
    <w:name w:val="List Paragraph"/>
    <w:basedOn w:val="Normal"/>
    <w:uiPriority w:val="34"/>
    <w:qFormat/>
    <w:rsid w:val="00230670"/>
    <w:pPr>
      <w:ind w:left="720"/>
    </w:pPr>
  </w:style>
  <w:style w:type="character" w:customStyle="1" w:styleId="apple-converted-space">
    <w:name w:val="apple-converted-space"/>
    <w:basedOn w:val="DefaultParagraphFont"/>
    <w:rsid w:val="0023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atur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2015-09-01T05:33:00Z</dcterms:created>
  <dcterms:modified xsi:type="dcterms:W3CDTF">2015-09-01T05:33:00Z</dcterms:modified>
</cp:coreProperties>
</file>