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10" w:rsidRPr="00B4023C" w:rsidRDefault="00992398" w:rsidP="009B430F">
      <w:pPr>
        <w:pStyle w:val="2-OrtaBaslk"/>
        <w:spacing w:line="240" w:lineRule="exact"/>
        <w:jc w:val="both"/>
        <w:rPr>
          <w:color w:val="548DD4"/>
          <w:sz w:val="26"/>
          <w:szCs w:val="26"/>
        </w:rPr>
      </w:pPr>
      <w:bookmarkStart w:id="0" w:name="_GoBack"/>
      <w:r w:rsidRPr="00B4023C">
        <w:rPr>
          <w:color w:val="548DD4"/>
          <w:sz w:val="26"/>
          <w:szCs w:val="26"/>
        </w:rPr>
        <w:t>2014</w:t>
      </w:r>
      <w:r w:rsidR="00F52A10" w:rsidRPr="00B4023C">
        <w:rPr>
          <w:color w:val="548DD4"/>
          <w:sz w:val="26"/>
          <w:szCs w:val="26"/>
        </w:rPr>
        <w:t xml:space="preserve"> Y</w:t>
      </w:r>
      <w:r w:rsidR="00F52A10" w:rsidRPr="00B4023C">
        <w:rPr>
          <w:color w:val="548DD4"/>
          <w:sz w:val="26"/>
          <w:szCs w:val="26"/>
        </w:rPr>
        <w:t>ı</w:t>
      </w:r>
      <w:r w:rsidR="00F52A10" w:rsidRPr="00B4023C">
        <w:rPr>
          <w:color w:val="548DD4"/>
          <w:sz w:val="26"/>
          <w:szCs w:val="26"/>
        </w:rPr>
        <w:t>l</w:t>
      </w:r>
      <w:r w:rsidR="00F52A10" w:rsidRPr="00B4023C">
        <w:rPr>
          <w:color w:val="548DD4"/>
          <w:sz w:val="26"/>
          <w:szCs w:val="26"/>
        </w:rPr>
        <w:t>ı</w:t>
      </w:r>
      <w:r w:rsidR="00F52A10" w:rsidRPr="00B4023C">
        <w:rPr>
          <w:color w:val="548DD4"/>
          <w:sz w:val="26"/>
          <w:szCs w:val="26"/>
        </w:rPr>
        <w:t>n</w:t>
      </w:r>
      <w:r w:rsidR="00012CE3" w:rsidRPr="00B4023C">
        <w:rPr>
          <w:color w:val="548DD4"/>
          <w:sz w:val="26"/>
          <w:szCs w:val="26"/>
        </w:rPr>
        <w:t>da Uygulanacak</w:t>
      </w:r>
      <w:r w:rsidR="00F52A10" w:rsidRPr="00B4023C">
        <w:rPr>
          <w:color w:val="548DD4"/>
          <w:sz w:val="26"/>
          <w:szCs w:val="26"/>
        </w:rPr>
        <w:t xml:space="preserve"> Had ve Tutarlar</w:t>
      </w:r>
    </w:p>
    <w:p w:rsidR="00FC5A30" w:rsidRPr="00B4023C" w:rsidRDefault="00FC5A30" w:rsidP="00FC5A30">
      <w:pPr>
        <w:rPr>
          <w:rFonts w:ascii="Times New Roman" w:hAnsi="Times New Roman"/>
        </w:rPr>
      </w:pPr>
    </w:p>
    <w:p w:rsidR="00F52A10" w:rsidRPr="00B4023C" w:rsidRDefault="00992398" w:rsidP="00074450">
      <w:pPr>
        <w:rPr>
          <w:rFonts w:ascii="Times New Roman" w:hAnsi="Times New Roman"/>
        </w:rPr>
      </w:pPr>
      <w:r w:rsidRPr="00B4023C">
        <w:rPr>
          <w:rFonts w:ascii="Times New Roman" w:hAnsi="Times New Roman"/>
        </w:rPr>
        <w:t>2014</w:t>
      </w:r>
      <w:r w:rsidR="00F52A10" w:rsidRPr="00B4023C">
        <w:rPr>
          <w:rFonts w:ascii="Times New Roman" w:hAnsi="Times New Roman"/>
        </w:rPr>
        <w:t xml:space="preserve"> yılına ilişkin aşağıdaki had ve tutarlarda değişikliğe gidilmiştir:</w:t>
      </w:r>
    </w:p>
    <w:p w:rsidR="00F52A10" w:rsidRPr="00B4023C" w:rsidRDefault="00F52A10" w:rsidP="00074450">
      <w:pPr>
        <w:rPr>
          <w:rFonts w:ascii="Times New Roman" w:hAnsi="Times New Roman"/>
        </w:rPr>
      </w:pPr>
    </w:p>
    <w:p w:rsidR="00DD2783" w:rsidRPr="00B4023C" w:rsidRDefault="00DD2783" w:rsidP="003534E7">
      <w:pPr>
        <w:jc w:val="both"/>
        <w:rPr>
          <w:rFonts w:ascii="Times New Roman" w:hAnsi="Times New Roman"/>
          <w:b/>
          <w:i/>
        </w:rPr>
      </w:pPr>
      <w:r w:rsidRPr="00B4023C">
        <w:rPr>
          <w:rFonts w:ascii="Times New Roman" w:hAnsi="Times New Roman"/>
          <w:b/>
          <w:i/>
        </w:rPr>
        <w:t>Gelir Vergisi:</w:t>
      </w:r>
    </w:p>
    <w:p w:rsidR="006214DD" w:rsidRPr="00B4023C" w:rsidRDefault="006214DD" w:rsidP="003534E7">
      <w:pPr>
        <w:jc w:val="both"/>
        <w:rPr>
          <w:rFonts w:ascii="Times New Roman" w:hAnsi="Times New Roman"/>
          <w:i/>
        </w:rPr>
      </w:pPr>
    </w:p>
    <w:p w:rsidR="00DD2783" w:rsidRPr="00B4023C" w:rsidRDefault="00751475" w:rsidP="00DD2783">
      <w:pPr>
        <w:pStyle w:val="ListParagraph"/>
        <w:numPr>
          <w:ilvl w:val="0"/>
          <w:numId w:val="8"/>
        </w:numPr>
        <w:jc w:val="both"/>
        <w:rPr>
          <w:rFonts w:ascii="Times New Roman" w:hAnsi="Times New Roman"/>
        </w:rPr>
      </w:pPr>
      <w:r w:rsidRPr="00B4023C">
        <w:rPr>
          <w:rFonts w:ascii="Times New Roman" w:hAnsi="Times New Roman"/>
        </w:rPr>
        <w:t xml:space="preserve">Gelir </w:t>
      </w:r>
      <w:r w:rsidR="00A153FF" w:rsidRPr="00B4023C">
        <w:rPr>
          <w:rFonts w:ascii="Times New Roman" w:hAnsi="Times New Roman"/>
        </w:rPr>
        <w:t>v</w:t>
      </w:r>
      <w:r w:rsidRPr="00B4023C">
        <w:rPr>
          <w:rFonts w:ascii="Times New Roman" w:hAnsi="Times New Roman"/>
        </w:rPr>
        <w:t xml:space="preserve">ergisi </w:t>
      </w:r>
      <w:r w:rsidR="00A153FF" w:rsidRPr="00B4023C">
        <w:rPr>
          <w:rFonts w:ascii="Times New Roman" w:hAnsi="Times New Roman"/>
        </w:rPr>
        <w:t>tarifesi</w:t>
      </w:r>
      <w:r w:rsidR="00DD2783" w:rsidRPr="00B4023C">
        <w:rPr>
          <w:rFonts w:ascii="Times New Roman" w:hAnsi="Times New Roman"/>
        </w:rPr>
        <w:t>:</w:t>
      </w:r>
    </w:p>
    <w:tbl>
      <w:tblPr>
        <w:tblStyle w:val="TableGrid"/>
        <w:tblW w:w="0" w:type="auto"/>
        <w:tblInd w:w="753" w:type="dxa"/>
        <w:tblLook w:val="04A0" w:firstRow="1" w:lastRow="0" w:firstColumn="1" w:lastColumn="0" w:noHBand="0" w:noVBand="1"/>
      </w:tblPr>
      <w:tblGrid>
        <w:gridCol w:w="5778"/>
        <w:gridCol w:w="851"/>
      </w:tblGrid>
      <w:tr w:rsidR="00DD2783" w:rsidRPr="00B4023C" w:rsidTr="00A153FF">
        <w:tc>
          <w:tcPr>
            <w:tcW w:w="5778" w:type="dxa"/>
          </w:tcPr>
          <w:p w:rsidR="00DD2783" w:rsidRPr="00B4023C" w:rsidRDefault="00DD2783" w:rsidP="003534E7">
            <w:pPr>
              <w:jc w:val="both"/>
              <w:rPr>
                <w:rFonts w:ascii="Times New Roman" w:hAnsi="Times New Roman"/>
                <w:b/>
              </w:rPr>
            </w:pPr>
            <w:r w:rsidRPr="00B4023C">
              <w:rPr>
                <w:rFonts w:ascii="Times New Roman" w:hAnsi="Times New Roman"/>
                <w:b/>
              </w:rPr>
              <w:t>Dilim</w:t>
            </w:r>
          </w:p>
        </w:tc>
        <w:tc>
          <w:tcPr>
            <w:tcW w:w="851" w:type="dxa"/>
          </w:tcPr>
          <w:p w:rsidR="00DD2783" w:rsidRPr="00B4023C" w:rsidRDefault="00DD2783" w:rsidP="00DD2783">
            <w:pPr>
              <w:jc w:val="center"/>
              <w:rPr>
                <w:rFonts w:ascii="Times New Roman" w:hAnsi="Times New Roman"/>
                <w:b/>
              </w:rPr>
            </w:pPr>
            <w:r w:rsidRPr="00B4023C">
              <w:rPr>
                <w:rFonts w:ascii="Times New Roman" w:hAnsi="Times New Roman"/>
                <w:b/>
              </w:rPr>
              <w:t>Oran</w:t>
            </w:r>
          </w:p>
        </w:tc>
      </w:tr>
      <w:tr w:rsidR="00DD2783" w:rsidRPr="00B4023C" w:rsidTr="00A153FF">
        <w:tc>
          <w:tcPr>
            <w:tcW w:w="5778" w:type="dxa"/>
          </w:tcPr>
          <w:p w:rsidR="00DD2783" w:rsidRPr="00B4023C" w:rsidRDefault="00992398" w:rsidP="003534E7">
            <w:pPr>
              <w:jc w:val="both"/>
              <w:rPr>
                <w:rFonts w:ascii="Times New Roman" w:hAnsi="Times New Roman"/>
              </w:rPr>
            </w:pPr>
            <w:r w:rsidRPr="00B4023C">
              <w:rPr>
                <w:rFonts w:ascii="Times New Roman" w:hAnsi="Times New Roman"/>
              </w:rPr>
              <w:t>11.000</w:t>
            </w:r>
            <w:r w:rsidR="00DD2783" w:rsidRPr="00B4023C">
              <w:rPr>
                <w:rFonts w:ascii="Times New Roman" w:hAnsi="Times New Roman"/>
              </w:rPr>
              <w:t xml:space="preserve"> TL’ye kadar</w:t>
            </w:r>
          </w:p>
        </w:tc>
        <w:tc>
          <w:tcPr>
            <w:tcW w:w="851" w:type="dxa"/>
          </w:tcPr>
          <w:p w:rsidR="00DD2783" w:rsidRPr="00B4023C" w:rsidRDefault="00DD2783" w:rsidP="00DD2783">
            <w:pPr>
              <w:jc w:val="center"/>
              <w:rPr>
                <w:rFonts w:ascii="Times New Roman" w:hAnsi="Times New Roman"/>
              </w:rPr>
            </w:pPr>
            <w:r w:rsidRPr="00B4023C">
              <w:rPr>
                <w:rFonts w:ascii="Times New Roman" w:hAnsi="Times New Roman"/>
              </w:rPr>
              <w:t>%15</w:t>
            </w:r>
          </w:p>
        </w:tc>
      </w:tr>
      <w:tr w:rsidR="00DD2783" w:rsidRPr="00B4023C" w:rsidTr="00A153FF">
        <w:tc>
          <w:tcPr>
            <w:tcW w:w="5778" w:type="dxa"/>
          </w:tcPr>
          <w:p w:rsidR="00DD2783" w:rsidRPr="00B4023C" w:rsidRDefault="00992398" w:rsidP="003534E7">
            <w:pPr>
              <w:jc w:val="both"/>
              <w:rPr>
                <w:rFonts w:ascii="Times New Roman" w:hAnsi="Times New Roman"/>
              </w:rPr>
            </w:pPr>
            <w:r w:rsidRPr="00B4023C">
              <w:rPr>
                <w:rFonts w:ascii="Times New Roman" w:hAnsi="Times New Roman"/>
              </w:rPr>
              <w:t>27</w:t>
            </w:r>
            <w:r w:rsidR="00DD2783" w:rsidRPr="00B4023C">
              <w:rPr>
                <w:rFonts w:ascii="Times New Roman" w:hAnsi="Times New Roman"/>
              </w:rPr>
              <w:t xml:space="preserve">.000 </w:t>
            </w:r>
            <w:r w:rsidRPr="00B4023C">
              <w:rPr>
                <w:rFonts w:ascii="Times New Roman" w:hAnsi="Times New Roman"/>
              </w:rPr>
              <w:t>TL'nin 11.000 TL'si için 1.6</w:t>
            </w:r>
            <w:r w:rsidR="00DD2783" w:rsidRPr="00B4023C">
              <w:rPr>
                <w:rFonts w:ascii="Times New Roman" w:hAnsi="Times New Roman"/>
              </w:rPr>
              <w:t>5</w:t>
            </w:r>
            <w:r w:rsidRPr="00B4023C">
              <w:rPr>
                <w:rFonts w:ascii="Times New Roman" w:hAnsi="Times New Roman"/>
              </w:rPr>
              <w:t>0</w:t>
            </w:r>
            <w:r w:rsidR="00DD2783" w:rsidRPr="00B4023C">
              <w:rPr>
                <w:rFonts w:ascii="Times New Roman" w:hAnsi="Times New Roman"/>
              </w:rPr>
              <w:t xml:space="preserve"> TL, fazlası</w:t>
            </w:r>
          </w:p>
        </w:tc>
        <w:tc>
          <w:tcPr>
            <w:tcW w:w="851" w:type="dxa"/>
          </w:tcPr>
          <w:p w:rsidR="00DD2783" w:rsidRPr="00B4023C" w:rsidRDefault="00DD2783" w:rsidP="00DD2783">
            <w:pPr>
              <w:jc w:val="center"/>
              <w:rPr>
                <w:rFonts w:ascii="Times New Roman" w:hAnsi="Times New Roman"/>
              </w:rPr>
            </w:pPr>
            <w:r w:rsidRPr="00B4023C">
              <w:rPr>
                <w:rFonts w:ascii="Times New Roman" w:hAnsi="Times New Roman"/>
              </w:rPr>
              <w:t>%20</w:t>
            </w:r>
          </w:p>
        </w:tc>
      </w:tr>
      <w:tr w:rsidR="00DD2783" w:rsidRPr="00B4023C" w:rsidTr="00A153FF">
        <w:tc>
          <w:tcPr>
            <w:tcW w:w="5778" w:type="dxa"/>
          </w:tcPr>
          <w:p w:rsidR="00DD2783" w:rsidRPr="00B4023C" w:rsidRDefault="00A153FF" w:rsidP="00A153FF">
            <w:pPr>
              <w:jc w:val="both"/>
              <w:rPr>
                <w:rFonts w:ascii="Times New Roman" w:hAnsi="Times New Roman"/>
              </w:rPr>
            </w:pPr>
            <w:r w:rsidRPr="00B4023C">
              <w:rPr>
                <w:rFonts w:ascii="Times New Roman" w:hAnsi="Times New Roman"/>
              </w:rPr>
              <w:t>60.000 TL'nin 27.000 TL'si için 4.850 TL, (ücret gelirlerinde 97.000 TL'nin</w:t>
            </w:r>
            <w:r w:rsidRPr="00B4023C">
              <w:rPr>
                <w:rFonts w:ascii="Times New Roman" w:hAnsi="Times New Roman"/>
              </w:rPr>
              <w:t xml:space="preserve"> </w:t>
            </w:r>
            <w:r w:rsidRPr="00B4023C">
              <w:rPr>
                <w:rFonts w:ascii="Times New Roman" w:hAnsi="Times New Roman"/>
              </w:rPr>
              <w:t xml:space="preserve">27.000 TL'si için 4.850 TL), fazlası                                                                              </w:t>
            </w:r>
          </w:p>
        </w:tc>
        <w:tc>
          <w:tcPr>
            <w:tcW w:w="851" w:type="dxa"/>
            <w:vAlign w:val="center"/>
          </w:tcPr>
          <w:p w:rsidR="00DD2783" w:rsidRPr="00B4023C" w:rsidRDefault="00DD2783" w:rsidP="004C1075">
            <w:pPr>
              <w:jc w:val="center"/>
              <w:rPr>
                <w:rFonts w:ascii="Times New Roman" w:hAnsi="Times New Roman"/>
              </w:rPr>
            </w:pPr>
            <w:r w:rsidRPr="00B4023C">
              <w:rPr>
                <w:rFonts w:ascii="Times New Roman" w:hAnsi="Times New Roman"/>
              </w:rPr>
              <w:t>%27</w:t>
            </w:r>
          </w:p>
        </w:tc>
      </w:tr>
      <w:tr w:rsidR="00DD2783" w:rsidRPr="00B4023C" w:rsidTr="00A153FF">
        <w:tc>
          <w:tcPr>
            <w:tcW w:w="5778" w:type="dxa"/>
          </w:tcPr>
          <w:p w:rsidR="00DD2783" w:rsidRPr="00B4023C" w:rsidRDefault="00A153FF" w:rsidP="00A153FF">
            <w:pPr>
              <w:jc w:val="both"/>
              <w:rPr>
                <w:rFonts w:ascii="Times New Roman" w:hAnsi="Times New Roman"/>
              </w:rPr>
            </w:pPr>
            <w:r w:rsidRPr="00B4023C">
              <w:rPr>
                <w:rFonts w:ascii="Times New Roman" w:hAnsi="Times New Roman"/>
              </w:rPr>
              <w:t>60.000 TL'den fazlasının 60.000 TL'si için 13.760 TL, (ücret gelirlerinde</w:t>
            </w:r>
            <w:r w:rsidRPr="00B4023C">
              <w:rPr>
                <w:rFonts w:ascii="Times New Roman" w:hAnsi="Times New Roman"/>
              </w:rPr>
              <w:t xml:space="preserve"> </w:t>
            </w:r>
            <w:r w:rsidRPr="00B4023C">
              <w:rPr>
                <w:rFonts w:ascii="Times New Roman" w:hAnsi="Times New Roman"/>
              </w:rPr>
              <w:t>97.000 TL'den fazlasının 97.000 TL'si için 23.750 TL), fazlas</w:t>
            </w:r>
            <w:r w:rsidRPr="00B4023C">
              <w:rPr>
                <w:rFonts w:ascii="Times New Roman" w:hAnsi="Times New Roman"/>
              </w:rPr>
              <w:t>ı</w:t>
            </w:r>
          </w:p>
        </w:tc>
        <w:tc>
          <w:tcPr>
            <w:tcW w:w="851" w:type="dxa"/>
            <w:vAlign w:val="center"/>
          </w:tcPr>
          <w:p w:rsidR="00DD2783" w:rsidRPr="00B4023C" w:rsidRDefault="00DD2783" w:rsidP="004C1075">
            <w:pPr>
              <w:jc w:val="center"/>
              <w:rPr>
                <w:rFonts w:ascii="Times New Roman" w:hAnsi="Times New Roman"/>
              </w:rPr>
            </w:pPr>
            <w:r w:rsidRPr="00B4023C">
              <w:rPr>
                <w:rFonts w:ascii="Times New Roman" w:hAnsi="Times New Roman"/>
              </w:rPr>
              <w:t>%35</w:t>
            </w:r>
          </w:p>
        </w:tc>
      </w:tr>
    </w:tbl>
    <w:p w:rsidR="00ED4472" w:rsidRPr="00B4023C" w:rsidRDefault="00ED4472" w:rsidP="00ED4472">
      <w:pPr>
        <w:pStyle w:val="ListParagraph"/>
        <w:jc w:val="both"/>
        <w:rPr>
          <w:rFonts w:ascii="Times New Roman" w:hAnsi="Times New Roman"/>
        </w:rPr>
      </w:pPr>
    </w:p>
    <w:p w:rsidR="004C1075" w:rsidRPr="00B4023C" w:rsidRDefault="00A153FF" w:rsidP="004C1075">
      <w:pPr>
        <w:pStyle w:val="ListParagraph"/>
        <w:numPr>
          <w:ilvl w:val="0"/>
          <w:numId w:val="8"/>
        </w:numPr>
        <w:jc w:val="both"/>
        <w:rPr>
          <w:rFonts w:ascii="Times New Roman" w:hAnsi="Times New Roman"/>
        </w:rPr>
      </w:pPr>
      <w:r w:rsidRPr="00B4023C">
        <w:rPr>
          <w:rFonts w:ascii="Times New Roman" w:hAnsi="Times New Roman"/>
        </w:rPr>
        <w:t>Kira gelirlerine</w:t>
      </w:r>
      <w:r w:rsidR="004C1075" w:rsidRPr="00B4023C">
        <w:rPr>
          <w:rFonts w:ascii="Times New Roman" w:hAnsi="Times New Roman"/>
        </w:rPr>
        <w:t xml:space="preserve"> uygulanan istisna tutarı</w:t>
      </w:r>
      <w:r w:rsidR="00CB7CE0" w:rsidRPr="00B4023C">
        <w:rPr>
          <w:rFonts w:ascii="Times New Roman" w:hAnsi="Times New Roman"/>
        </w:rPr>
        <w:t>: 3.3</w:t>
      </w:r>
      <w:r w:rsidR="004C1075" w:rsidRPr="00B4023C">
        <w:rPr>
          <w:rFonts w:ascii="Times New Roman" w:hAnsi="Times New Roman"/>
        </w:rPr>
        <w:t>00 TL</w:t>
      </w:r>
    </w:p>
    <w:p w:rsidR="004C1075" w:rsidRPr="00B4023C" w:rsidRDefault="004C1075" w:rsidP="004C1075">
      <w:pPr>
        <w:pStyle w:val="ListParagraph"/>
        <w:numPr>
          <w:ilvl w:val="0"/>
          <w:numId w:val="8"/>
        </w:numPr>
        <w:jc w:val="both"/>
        <w:rPr>
          <w:rFonts w:ascii="Times New Roman" w:hAnsi="Times New Roman"/>
        </w:rPr>
      </w:pPr>
      <w:r w:rsidRPr="00B4023C">
        <w:rPr>
          <w:rFonts w:ascii="Times New Roman" w:hAnsi="Times New Roman"/>
        </w:rPr>
        <w:t>İşverenlerce işyeri veya işyerinin müştemilatı dışında kalan yerlerde hizmet erbabına yemek verilmek suretiyle sağlanan menfaatlere ilişkin istisna tutarı:</w:t>
      </w:r>
      <w:r w:rsidR="00A153FF" w:rsidRPr="00B4023C">
        <w:rPr>
          <w:rFonts w:ascii="Times New Roman" w:hAnsi="Times New Roman"/>
        </w:rPr>
        <w:t xml:space="preserve"> 12</w:t>
      </w:r>
      <w:r w:rsidRPr="00B4023C">
        <w:rPr>
          <w:rFonts w:ascii="Times New Roman" w:hAnsi="Times New Roman"/>
        </w:rPr>
        <w:t xml:space="preserve"> TL</w:t>
      </w:r>
    </w:p>
    <w:p w:rsidR="004C1075" w:rsidRPr="00B4023C" w:rsidRDefault="004C1075" w:rsidP="004C1075">
      <w:pPr>
        <w:pStyle w:val="ListParagraph"/>
        <w:numPr>
          <w:ilvl w:val="0"/>
          <w:numId w:val="8"/>
        </w:numPr>
        <w:jc w:val="both"/>
        <w:rPr>
          <w:rFonts w:ascii="Times New Roman" w:hAnsi="Times New Roman"/>
        </w:rPr>
      </w:pPr>
      <w:r w:rsidRPr="00B4023C">
        <w:rPr>
          <w:rFonts w:ascii="Times New Roman" w:hAnsi="Times New Roman"/>
        </w:rPr>
        <w:t>Sakatlık indirimi tutarları</w:t>
      </w:r>
      <w:r w:rsidR="00B4023C" w:rsidRPr="00B4023C">
        <w:rPr>
          <w:rFonts w:ascii="Times New Roman" w:hAnsi="Times New Roman"/>
        </w:rPr>
        <w:t>:</w:t>
      </w:r>
    </w:p>
    <w:p w:rsidR="004C1075" w:rsidRPr="00B4023C" w:rsidRDefault="004C1075" w:rsidP="004C1075">
      <w:pPr>
        <w:pStyle w:val="ListParagraph"/>
        <w:numPr>
          <w:ilvl w:val="1"/>
          <w:numId w:val="8"/>
        </w:numPr>
        <w:jc w:val="both"/>
        <w:rPr>
          <w:rFonts w:ascii="Times New Roman" w:hAnsi="Times New Roman"/>
        </w:rPr>
      </w:pPr>
      <w:r w:rsidRPr="00B4023C">
        <w:rPr>
          <w:rFonts w:ascii="Times New Roman" w:hAnsi="Times New Roman"/>
        </w:rPr>
        <w:t xml:space="preserve">Birinci derece sakatlar için 800 TL, </w:t>
      </w:r>
    </w:p>
    <w:p w:rsidR="004C1075" w:rsidRPr="00B4023C" w:rsidRDefault="004C1075" w:rsidP="004C1075">
      <w:pPr>
        <w:pStyle w:val="ListParagraph"/>
        <w:numPr>
          <w:ilvl w:val="1"/>
          <w:numId w:val="8"/>
        </w:numPr>
        <w:jc w:val="both"/>
        <w:rPr>
          <w:rFonts w:ascii="Times New Roman" w:hAnsi="Times New Roman"/>
        </w:rPr>
      </w:pPr>
      <w:r w:rsidRPr="00B4023C">
        <w:rPr>
          <w:rFonts w:ascii="Times New Roman" w:hAnsi="Times New Roman"/>
        </w:rPr>
        <w:t xml:space="preserve">İkinci derece sakatlar için 400 TL, </w:t>
      </w:r>
    </w:p>
    <w:p w:rsidR="004C1075" w:rsidRPr="00B4023C" w:rsidRDefault="004C1075" w:rsidP="004C1075">
      <w:pPr>
        <w:pStyle w:val="ListParagraph"/>
        <w:numPr>
          <w:ilvl w:val="1"/>
          <w:numId w:val="8"/>
        </w:numPr>
        <w:jc w:val="both"/>
        <w:rPr>
          <w:rFonts w:ascii="Times New Roman" w:hAnsi="Times New Roman"/>
        </w:rPr>
      </w:pPr>
      <w:r w:rsidRPr="00B4023C">
        <w:rPr>
          <w:rFonts w:ascii="Times New Roman" w:hAnsi="Times New Roman"/>
        </w:rPr>
        <w:t>Üçüncü derece sakatlar için 190 TL</w:t>
      </w:r>
    </w:p>
    <w:p w:rsidR="004C1075" w:rsidRPr="00B4023C" w:rsidRDefault="004C1075" w:rsidP="004C1075">
      <w:pPr>
        <w:pStyle w:val="ListParagraph"/>
        <w:numPr>
          <w:ilvl w:val="0"/>
          <w:numId w:val="8"/>
        </w:numPr>
        <w:jc w:val="both"/>
        <w:rPr>
          <w:rFonts w:ascii="Times New Roman" w:hAnsi="Times New Roman"/>
        </w:rPr>
      </w:pPr>
      <w:r w:rsidRPr="00B4023C">
        <w:rPr>
          <w:rFonts w:ascii="Times New Roman" w:hAnsi="Times New Roman"/>
        </w:rPr>
        <w:t>Değer artışı k</w:t>
      </w:r>
      <w:r w:rsidR="00CB7CE0" w:rsidRPr="00B4023C">
        <w:rPr>
          <w:rFonts w:ascii="Times New Roman" w:hAnsi="Times New Roman"/>
        </w:rPr>
        <w:t>azançlarına ilişkin istisna: 9.7</w:t>
      </w:r>
      <w:r w:rsidRPr="00B4023C">
        <w:rPr>
          <w:rFonts w:ascii="Times New Roman" w:hAnsi="Times New Roman"/>
        </w:rPr>
        <w:t>00 TL</w:t>
      </w:r>
    </w:p>
    <w:p w:rsidR="00DD2783" w:rsidRPr="00B4023C" w:rsidRDefault="004C1075" w:rsidP="003534E7">
      <w:pPr>
        <w:pStyle w:val="ListParagraph"/>
        <w:numPr>
          <w:ilvl w:val="0"/>
          <w:numId w:val="8"/>
        </w:numPr>
        <w:jc w:val="both"/>
        <w:rPr>
          <w:rFonts w:ascii="Times New Roman" w:hAnsi="Times New Roman"/>
        </w:rPr>
      </w:pPr>
      <w:r w:rsidRPr="00B4023C">
        <w:rPr>
          <w:rFonts w:ascii="Times New Roman" w:hAnsi="Times New Roman"/>
        </w:rPr>
        <w:t>Arızi kazançlara ilişkin istisna tutarı: 21.000 TL</w:t>
      </w:r>
    </w:p>
    <w:p w:rsidR="00B4023C" w:rsidRPr="00B4023C" w:rsidRDefault="00B4023C" w:rsidP="00B4023C">
      <w:pPr>
        <w:pStyle w:val="ListParagraph"/>
        <w:numPr>
          <w:ilvl w:val="0"/>
          <w:numId w:val="8"/>
        </w:numPr>
        <w:jc w:val="both"/>
        <w:rPr>
          <w:rFonts w:ascii="Times New Roman" w:hAnsi="Times New Roman"/>
        </w:rPr>
      </w:pPr>
      <w:proofErr w:type="spellStart"/>
      <w:r w:rsidRPr="00B4023C">
        <w:rPr>
          <w:rFonts w:ascii="Times New Roman" w:hAnsi="Times New Roman"/>
        </w:rPr>
        <w:t>Tevkifata</w:t>
      </w:r>
      <w:proofErr w:type="spellEnd"/>
      <w:r w:rsidRPr="00B4023C">
        <w:rPr>
          <w:rFonts w:ascii="Times New Roman" w:hAnsi="Times New Roman"/>
        </w:rPr>
        <w:t xml:space="preserve"> ve istisnaya konu olmayan menkul ve gayrimenkul sermaye iratlarına ilişkin beyanname verme sınırı: 1.400 TL</w:t>
      </w:r>
    </w:p>
    <w:p w:rsidR="00626FAD" w:rsidRPr="00B4023C" w:rsidRDefault="00751475" w:rsidP="00B4023C">
      <w:pPr>
        <w:pStyle w:val="ListParagraph"/>
        <w:numPr>
          <w:ilvl w:val="0"/>
          <w:numId w:val="8"/>
        </w:numPr>
        <w:jc w:val="both"/>
        <w:rPr>
          <w:rFonts w:ascii="Times New Roman" w:hAnsi="Times New Roman"/>
        </w:rPr>
      </w:pPr>
      <w:r w:rsidRPr="00B4023C">
        <w:rPr>
          <w:rFonts w:ascii="Times New Roman" w:hAnsi="Times New Roman"/>
        </w:rPr>
        <w:t xml:space="preserve">2013 yılında elde edilen </w:t>
      </w:r>
      <w:r w:rsidR="00B4023C" w:rsidRPr="00B4023C">
        <w:rPr>
          <w:rFonts w:ascii="Times New Roman" w:hAnsi="Times New Roman"/>
        </w:rPr>
        <w:t>bir kısım menkul sermaye iradının</w:t>
      </w:r>
      <w:r w:rsidR="00B4023C">
        <w:rPr>
          <w:rFonts w:ascii="Times New Roman" w:hAnsi="Times New Roman"/>
        </w:rPr>
        <w:t xml:space="preserve"> (01.01.2006 öncesi ihraç edilmiş hazine bonosu ve devlet tahvili faizleri)</w:t>
      </w:r>
      <w:r w:rsidR="00B4023C" w:rsidRPr="00B4023C">
        <w:rPr>
          <w:rFonts w:ascii="Times New Roman" w:hAnsi="Times New Roman"/>
        </w:rPr>
        <w:t xml:space="preserve"> beyanında</w:t>
      </w:r>
      <w:r w:rsidRPr="00B4023C">
        <w:rPr>
          <w:rFonts w:ascii="Times New Roman" w:hAnsi="Times New Roman"/>
        </w:rPr>
        <w:t xml:space="preserve"> uygulanacak indirim oranı %53,11 olarak belirlenmiştir.</w:t>
      </w:r>
    </w:p>
    <w:p w:rsidR="00ED2884" w:rsidRDefault="00ED2884" w:rsidP="00ED2884">
      <w:pPr>
        <w:jc w:val="both"/>
        <w:rPr>
          <w:rFonts w:ascii="Times New Roman" w:hAnsi="Times New Roman"/>
        </w:rPr>
      </w:pPr>
    </w:p>
    <w:p w:rsidR="00851FEA" w:rsidRPr="00851FEA" w:rsidRDefault="00851FEA" w:rsidP="00851FEA">
      <w:pPr>
        <w:jc w:val="both"/>
        <w:rPr>
          <w:rFonts w:ascii="Times New Roman" w:hAnsi="Times New Roman"/>
          <w:b/>
          <w:i/>
        </w:rPr>
      </w:pPr>
      <w:r w:rsidRPr="00851FEA">
        <w:rPr>
          <w:rFonts w:ascii="Times New Roman" w:hAnsi="Times New Roman"/>
          <w:b/>
          <w:i/>
        </w:rPr>
        <w:t>Katma Değer Vergisi:</w:t>
      </w:r>
    </w:p>
    <w:p w:rsidR="00851FEA" w:rsidRPr="00851FEA" w:rsidRDefault="00851FEA" w:rsidP="00851FEA">
      <w:pPr>
        <w:jc w:val="both"/>
        <w:rPr>
          <w:rFonts w:ascii="Times New Roman" w:hAnsi="Times New Roman"/>
        </w:rPr>
      </w:pPr>
    </w:p>
    <w:p w:rsidR="00851FEA" w:rsidRPr="00851FEA" w:rsidRDefault="00851FEA" w:rsidP="00851FEA">
      <w:pPr>
        <w:pStyle w:val="ListParagraph"/>
        <w:numPr>
          <w:ilvl w:val="0"/>
          <w:numId w:val="5"/>
        </w:numPr>
        <w:jc w:val="both"/>
        <w:rPr>
          <w:rFonts w:ascii="Times New Roman" w:hAnsi="Times New Roman"/>
        </w:rPr>
      </w:pPr>
      <w:r w:rsidRPr="00851FEA">
        <w:rPr>
          <w:rFonts w:ascii="Times New Roman" w:hAnsi="Times New Roman"/>
        </w:rPr>
        <w:t xml:space="preserve">İndirimli orana tabi işlemlerden doğan KDV iadesi taleplerinde, yüklenilen ve indirim yoluyla giderilemeyen KDV’nin iade edilmeyecek kısmı yeniden değerleme oranında artırılması suretiyle yeniden hesaplanmış ve 2014 yılı için 17.700 TL olarak tespit edilmiştir. </w:t>
      </w:r>
    </w:p>
    <w:p w:rsidR="00851FEA" w:rsidRDefault="00851FEA" w:rsidP="00ED2884">
      <w:pPr>
        <w:jc w:val="both"/>
        <w:rPr>
          <w:rFonts w:ascii="Times New Roman" w:hAnsi="Times New Roman"/>
        </w:rPr>
      </w:pPr>
    </w:p>
    <w:p w:rsidR="00851FEA" w:rsidRPr="00851FEA" w:rsidRDefault="00851FEA" w:rsidP="00ED2884">
      <w:pPr>
        <w:jc w:val="both"/>
        <w:rPr>
          <w:rFonts w:ascii="Times New Roman" w:hAnsi="Times New Roman"/>
          <w:b/>
          <w:i/>
        </w:rPr>
      </w:pPr>
      <w:r w:rsidRPr="00851FEA">
        <w:rPr>
          <w:rFonts w:ascii="Times New Roman" w:hAnsi="Times New Roman"/>
          <w:b/>
          <w:i/>
        </w:rPr>
        <w:t>Vergi Usul Kanunu:</w:t>
      </w:r>
    </w:p>
    <w:p w:rsidR="00851FEA" w:rsidRDefault="00851FEA" w:rsidP="00ED2884">
      <w:pPr>
        <w:jc w:val="both"/>
        <w:rPr>
          <w:rFonts w:ascii="Times New Roman" w:hAnsi="Times New Roman"/>
        </w:rPr>
      </w:pPr>
    </w:p>
    <w:p w:rsidR="00851FEA" w:rsidRDefault="00D6554D" w:rsidP="00851FEA">
      <w:pPr>
        <w:pStyle w:val="ListParagraph"/>
        <w:numPr>
          <w:ilvl w:val="0"/>
          <w:numId w:val="5"/>
        </w:numPr>
        <w:jc w:val="both"/>
        <w:rPr>
          <w:rFonts w:ascii="Times New Roman" w:hAnsi="Times New Roman"/>
        </w:rPr>
      </w:pPr>
      <w:r>
        <w:rPr>
          <w:rFonts w:ascii="Times New Roman" w:hAnsi="Times New Roman"/>
        </w:rPr>
        <w:t>Bazı özel usulsüzlük cezaları</w:t>
      </w:r>
      <w:r w:rsidR="00851FEA">
        <w:rPr>
          <w:rFonts w:ascii="Times New Roman" w:hAnsi="Times New Roman"/>
        </w:rPr>
        <w:t xml:space="preserve"> aşağıdaki şekilde değiştirilmiştir:</w:t>
      </w:r>
    </w:p>
    <w:tbl>
      <w:tblPr>
        <w:tblStyle w:val="TableGrid"/>
        <w:tblW w:w="9750" w:type="dxa"/>
        <w:tblLook w:val="04A0" w:firstRow="1" w:lastRow="0" w:firstColumn="1" w:lastColumn="0" w:noHBand="0" w:noVBand="1"/>
      </w:tblPr>
      <w:tblGrid>
        <w:gridCol w:w="8367"/>
        <w:gridCol w:w="1383"/>
      </w:tblGrid>
      <w:tr w:rsidR="00045DAE" w:rsidRPr="00045DAE" w:rsidTr="00045DAE">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b/>
                <w:bCs/>
                <w:color w:val="000000"/>
                <w:sz w:val="20"/>
                <w:szCs w:val="20"/>
                <w:lang w:eastAsia="tr-TR"/>
              </w:rPr>
              <w:t>Özel Usulsüzlük</w:t>
            </w:r>
          </w:p>
        </w:tc>
        <w:tc>
          <w:tcPr>
            <w:tcW w:w="1110" w:type="dxa"/>
            <w:hideMark/>
          </w:tcPr>
          <w:p w:rsidR="00045DAE" w:rsidRPr="00045DAE" w:rsidRDefault="00045DAE" w:rsidP="00045DAE">
            <w:pPr>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 Fatura, gider pusulası, müstahsil makbuzu, serbest meslek makbuzu verilmemesi, alınmaması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190,00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xml:space="preserve">Bir takvim yılı içinde her Bir belge </w:t>
            </w:r>
            <w:proofErr w:type="spellStart"/>
            <w:r w:rsidRPr="00045DAE">
              <w:rPr>
                <w:rFonts w:ascii="Times New Roman" w:eastAsia="Times New Roman" w:hAnsi="Times New Roman"/>
                <w:color w:val="000000"/>
                <w:sz w:val="20"/>
                <w:szCs w:val="20"/>
                <w:lang w:eastAsia="tr-TR"/>
              </w:rPr>
              <w:t>nevine</w:t>
            </w:r>
            <w:proofErr w:type="spellEnd"/>
            <w:r w:rsidRPr="00045DAE">
              <w:rPr>
                <w:rFonts w:ascii="Times New Roman" w:eastAsia="Times New Roman" w:hAnsi="Times New Roman"/>
                <w:color w:val="000000"/>
                <w:sz w:val="20"/>
                <w:szCs w:val="20"/>
                <w:lang w:eastAsia="tr-TR"/>
              </w:rPr>
              <w:t xml:space="preserve"> ilişkin olarak kesilecek toplam ceza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9</w:t>
            </w:r>
            <w:r>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190,00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Her bir belge nev’ine ilişkin olarak her bir tespit için toplam ceza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9.</w:t>
            </w:r>
            <w:r>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Her bir belge nev’ine ilişkin bir takvim yılı içinde kesilecek toplam ceza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9</w:t>
            </w:r>
            <w:r>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 Maliye Bakanlığınca tutulma ve günü gününe kayıt edilme mecburiyeti getirilen defterlerin; bulundurulmaması, günü gününe kayıt yapılmaması, yetkililere ibraz edilmemesi ile levha bulundurma ve asma mecburiyetine uyulmaması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190,00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4- Belirlenen muhasebe standartlarına, tek düzen hesap planına ve mali tablolara ilişkin usul ve esaslar ile muhasebeye yönelik bilgisayar programlarının üretilmesine ilişkin kural ve standartlara uyulmaması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4.</w:t>
            </w:r>
            <w:r>
              <w:rPr>
                <w:rFonts w:ascii="Times New Roman" w:eastAsia="Times New Roman" w:hAnsi="Times New Roman"/>
                <w:color w:val="000000"/>
                <w:sz w:val="20"/>
                <w:szCs w:val="20"/>
                <w:lang w:eastAsia="tr-TR"/>
              </w:rPr>
              <w:t>4</w:t>
            </w:r>
            <w:r w:rsidRPr="00045DAE">
              <w:rPr>
                <w:rFonts w:ascii="Times New Roman" w:eastAsia="Times New Roman" w:hAnsi="Times New Roman"/>
                <w:color w:val="000000"/>
                <w:sz w:val="20"/>
                <w:szCs w:val="20"/>
                <w:lang w:eastAsia="tr-TR"/>
              </w:rPr>
              <w:t>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lastRenderedPageBreak/>
              <w:t>5- Kamu kurum ve kuruluşları ile gerçek ve tüzel kişilerce yapılacak işlemlerde kullanılma zorunluluğu getirilen vergi numarasını kullanmaksızın işlem yapanlara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230,00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6- Belge basımı ile ilgili bildirim görevini tamamen veya kısmen yerine getirmeyen matbaa işletmecilerine</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Bu bent uyarınca bir takvim yılı içinde kesilecek toplam özel usulsüzlük cezası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140.000,00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7- 4358 sayılı Kanun uyarınca vergi kimlik numarası kullanma zorunluluğu getirilen kuruluşlardan yaptıkları işlemlere ilişkin bildirimleri, belirlenen standartlarda ve zamanda yerine getirmeyenlere</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9</w:t>
            </w:r>
            <w:r>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xml:space="preserve">8- 127 </w:t>
            </w:r>
            <w:proofErr w:type="spellStart"/>
            <w:r w:rsidRPr="00045DAE">
              <w:rPr>
                <w:rFonts w:ascii="Times New Roman" w:eastAsia="Times New Roman" w:hAnsi="Times New Roman"/>
                <w:color w:val="000000"/>
                <w:sz w:val="20"/>
                <w:szCs w:val="20"/>
                <w:lang w:eastAsia="tr-TR"/>
              </w:rPr>
              <w:t>nci</w:t>
            </w:r>
            <w:proofErr w:type="spellEnd"/>
            <w:r w:rsidRPr="00045DAE">
              <w:rPr>
                <w:rFonts w:ascii="Times New Roman" w:eastAsia="Times New Roman" w:hAnsi="Times New Roman"/>
                <w:color w:val="000000"/>
                <w:sz w:val="20"/>
                <w:szCs w:val="20"/>
                <w:lang w:eastAsia="tr-TR"/>
              </w:rPr>
              <w:t xml:space="preserve"> maddenin (d) bendi uyarınca Maliye Bakanlığının özel işaretli görevlisinin ikazına rağmen durmayan aracın sahibi adına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b/>
                <w:bCs/>
                <w:color w:val="000000"/>
                <w:sz w:val="20"/>
                <w:szCs w:val="20"/>
                <w:lang w:eastAsia="tr-TR"/>
              </w:rPr>
              <w:t>Bilgi vermekten çekinenl</w:t>
            </w:r>
            <w:r>
              <w:rPr>
                <w:rFonts w:ascii="Times New Roman" w:eastAsia="Times New Roman" w:hAnsi="Times New Roman"/>
                <w:b/>
                <w:bCs/>
                <w:color w:val="000000"/>
                <w:sz w:val="20"/>
                <w:szCs w:val="20"/>
                <w:lang w:eastAsia="tr-TR"/>
              </w:rPr>
              <w:t>er ile 256, 257 ve mükerrer 257</w:t>
            </w:r>
            <w:r w:rsidRPr="00045DAE">
              <w:rPr>
                <w:rFonts w:ascii="Times New Roman" w:eastAsia="Times New Roman" w:hAnsi="Times New Roman"/>
                <w:b/>
                <w:bCs/>
                <w:color w:val="000000"/>
                <w:sz w:val="20"/>
                <w:szCs w:val="20"/>
                <w:lang w:eastAsia="tr-TR"/>
              </w:rPr>
              <w:t>nci madde hükmüne uymayanlar için ceza</w:t>
            </w:r>
          </w:p>
        </w:tc>
        <w:tc>
          <w:tcPr>
            <w:tcW w:w="1110" w:type="dxa"/>
            <w:vAlign w:val="center"/>
            <w:hideMark/>
          </w:tcPr>
          <w:p w:rsidR="00045DAE" w:rsidRPr="00045DAE" w:rsidRDefault="00045DAE" w:rsidP="00D6554D">
            <w:pPr>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 Birinci sınıf tüccarlar ile serbest meslek erbabı hakkında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1.200,00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 İkinci sınıf tüccarlar, defter tutan çiftçiler ile kazancı basit usulde</w:t>
            </w:r>
            <w:r w:rsidRPr="00045DAE">
              <w:rPr>
                <w:rFonts w:ascii="Times New Roman" w:eastAsia="Times New Roman" w:hAnsi="Times New Roman"/>
                <w:color w:val="000000"/>
                <w:sz w:val="20"/>
                <w:szCs w:val="20"/>
                <w:lang w:eastAsia="tr-TR"/>
              </w:rPr>
              <w:br/>
              <w:t>tespit edilenler hakkında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600,00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 Yukarıdaki bentlerde yazılı bulunanlar dışında kalanlar hakkında</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Tahsilat ve ödemelerini banka, benzeri finans kurumları veya posta idarelerince düzenlenen belgelerle tevsik etme zorunluluğuna uymayanlara bir takvim yılı içinde kesilecek toplam özel usulsüzlük cezası</w:t>
            </w:r>
          </w:p>
        </w:tc>
        <w:tc>
          <w:tcPr>
            <w:tcW w:w="1110" w:type="dxa"/>
            <w:vAlign w:val="center"/>
            <w:hideMark/>
          </w:tcPr>
          <w:p w:rsidR="00045DAE" w:rsidRPr="00045DAE" w:rsidRDefault="00045DAE" w:rsidP="00D6554D">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9</w:t>
            </w:r>
            <w:r>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0.000,00</w:t>
            </w:r>
          </w:p>
        </w:tc>
      </w:tr>
    </w:tbl>
    <w:p w:rsidR="00851FEA" w:rsidRDefault="00851FEA" w:rsidP="00ED2884">
      <w:pPr>
        <w:jc w:val="both"/>
        <w:rPr>
          <w:rFonts w:ascii="Times New Roman" w:hAnsi="Times New Roman"/>
        </w:rPr>
      </w:pPr>
    </w:p>
    <w:p w:rsidR="004C1075" w:rsidRPr="00B4023C" w:rsidRDefault="00ED2884" w:rsidP="00ED2884">
      <w:pPr>
        <w:jc w:val="both"/>
        <w:rPr>
          <w:rFonts w:ascii="Times New Roman" w:hAnsi="Times New Roman"/>
          <w:b/>
          <w:i/>
        </w:rPr>
      </w:pPr>
      <w:r w:rsidRPr="00B4023C">
        <w:rPr>
          <w:rFonts w:ascii="Times New Roman" w:hAnsi="Times New Roman"/>
          <w:b/>
          <w:i/>
        </w:rPr>
        <w:t>Damga Vergisi</w:t>
      </w:r>
      <w:r w:rsidR="00B4023C">
        <w:rPr>
          <w:rFonts w:ascii="Times New Roman" w:hAnsi="Times New Roman"/>
          <w:b/>
          <w:i/>
        </w:rPr>
        <w:t xml:space="preserve"> &amp; Harçlar</w:t>
      </w:r>
      <w:r w:rsidRPr="00B4023C">
        <w:rPr>
          <w:rFonts w:ascii="Times New Roman" w:hAnsi="Times New Roman"/>
          <w:b/>
          <w:i/>
        </w:rPr>
        <w:t>:</w:t>
      </w:r>
    </w:p>
    <w:p w:rsidR="006214DD" w:rsidRPr="00B4023C" w:rsidRDefault="006214DD" w:rsidP="00ED2884">
      <w:pPr>
        <w:jc w:val="both"/>
        <w:rPr>
          <w:rFonts w:ascii="Times New Roman" w:hAnsi="Times New Roman"/>
          <w:i/>
        </w:rPr>
      </w:pPr>
    </w:p>
    <w:p w:rsidR="00A52739" w:rsidRPr="00B4023C" w:rsidRDefault="00A52739" w:rsidP="006214DD">
      <w:pPr>
        <w:pStyle w:val="ListParagraph"/>
        <w:numPr>
          <w:ilvl w:val="0"/>
          <w:numId w:val="5"/>
        </w:numPr>
        <w:jc w:val="both"/>
        <w:rPr>
          <w:rFonts w:ascii="Times New Roman" w:hAnsi="Times New Roman"/>
        </w:rPr>
      </w:pPr>
      <w:r w:rsidRPr="00B4023C">
        <w:rPr>
          <w:rFonts w:ascii="Times New Roman" w:hAnsi="Times New Roman"/>
        </w:rPr>
        <w:t xml:space="preserve">Her bir </w:t>
      </w:r>
      <w:proofErr w:type="gramStart"/>
      <w:r w:rsidR="00B4023C" w:rsidRPr="00B4023C">
        <w:rPr>
          <w:rFonts w:ascii="Times New Roman" w:hAnsi="Times New Roman"/>
        </w:rPr>
        <w:t>k</w:t>
      </w:r>
      <w:r w:rsidR="00B4023C">
        <w:rPr>
          <w:rFonts w:ascii="Times New Roman" w:hAnsi="Times New Roman"/>
        </w:rPr>
        <w:t>a</w:t>
      </w:r>
      <w:r w:rsidR="00B4023C" w:rsidRPr="00B4023C">
        <w:rPr>
          <w:rFonts w:ascii="Times New Roman" w:hAnsi="Times New Roman"/>
        </w:rPr>
        <w:t>ğıttan</w:t>
      </w:r>
      <w:proofErr w:type="gramEnd"/>
      <w:r w:rsidRPr="00B4023C">
        <w:rPr>
          <w:rFonts w:ascii="Times New Roman" w:hAnsi="Times New Roman"/>
        </w:rPr>
        <w:t xml:space="preserve"> alınacak damga vergisine ilişkin üst sınır yeniden değerleme oranında artırılmış ve </w:t>
      </w:r>
      <w:r w:rsidR="00B4023C">
        <w:rPr>
          <w:rFonts w:ascii="Times New Roman" w:hAnsi="Times New Roman"/>
        </w:rPr>
        <w:t>01.01.2014</w:t>
      </w:r>
      <w:r w:rsidRPr="00B4023C">
        <w:rPr>
          <w:rFonts w:ascii="Times New Roman" w:hAnsi="Times New Roman"/>
        </w:rPr>
        <w:t xml:space="preserve"> tarihinden itibaren 1.545.852,40 </w:t>
      </w:r>
      <w:r w:rsidR="00B4023C">
        <w:rPr>
          <w:rFonts w:ascii="Times New Roman" w:hAnsi="Times New Roman"/>
        </w:rPr>
        <w:t>TL</w:t>
      </w:r>
      <w:r w:rsidRPr="00B4023C">
        <w:rPr>
          <w:rFonts w:ascii="Times New Roman" w:hAnsi="Times New Roman"/>
        </w:rPr>
        <w:t xml:space="preserve"> olmuştur.</w:t>
      </w:r>
    </w:p>
    <w:p w:rsidR="00A52739" w:rsidRPr="00B4023C" w:rsidRDefault="00A52739" w:rsidP="00B4023C">
      <w:pPr>
        <w:pStyle w:val="ListParagraph"/>
        <w:numPr>
          <w:ilvl w:val="0"/>
          <w:numId w:val="5"/>
        </w:numPr>
        <w:rPr>
          <w:rStyle w:val="Hyperlink"/>
          <w:rFonts w:ascii="Times New Roman" w:hAnsi="Times New Roman"/>
          <w:color w:val="auto"/>
          <w:u w:val="none"/>
        </w:rPr>
      </w:pPr>
      <w:r w:rsidRPr="00B4023C">
        <w:rPr>
          <w:rFonts w:ascii="Times New Roman" w:hAnsi="Times New Roman"/>
        </w:rPr>
        <w:t xml:space="preserve">Yeni </w:t>
      </w:r>
      <w:r w:rsidR="00B4023C" w:rsidRPr="00B4023C">
        <w:rPr>
          <w:rFonts w:ascii="Times New Roman" w:hAnsi="Times New Roman"/>
        </w:rPr>
        <w:t>maktu damga vergisi</w:t>
      </w:r>
      <w:r w:rsidRPr="00B4023C">
        <w:rPr>
          <w:rFonts w:ascii="Times New Roman" w:hAnsi="Times New Roman"/>
        </w:rPr>
        <w:t xml:space="preserve"> </w:t>
      </w:r>
      <w:r w:rsidR="00B4023C" w:rsidRPr="00B4023C">
        <w:rPr>
          <w:rFonts w:ascii="Times New Roman" w:hAnsi="Times New Roman"/>
        </w:rPr>
        <w:t>tutarları</w:t>
      </w:r>
      <w:r w:rsidRPr="00B4023C">
        <w:rPr>
          <w:rFonts w:ascii="Times New Roman" w:hAnsi="Times New Roman"/>
        </w:rPr>
        <w:t>:</w:t>
      </w:r>
      <w:r w:rsidR="00B4023C">
        <w:rPr>
          <w:rFonts w:ascii="Times New Roman" w:hAnsi="Times New Roman"/>
        </w:rPr>
        <w:t xml:space="preserve"> </w:t>
      </w:r>
      <w:hyperlink r:id="rId5" w:history="1">
        <w:r w:rsidR="00751475" w:rsidRPr="00B4023C">
          <w:rPr>
            <w:rStyle w:val="Hyperlink"/>
            <w:rFonts w:ascii="Times New Roman" w:hAnsi="Times New Roman"/>
          </w:rPr>
          <w:t>http://www.gib.gov.tr/index.php?id=1079&amp;uid=ej1OTrfxLUQt0MNx&amp;type=t</w:t>
        </w:r>
        <w:r w:rsidR="00751475" w:rsidRPr="00B4023C">
          <w:rPr>
            <w:rStyle w:val="Hyperlink"/>
            <w:rFonts w:ascii="Times New Roman" w:hAnsi="Times New Roman"/>
          </w:rPr>
          <w:t>e</w:t>
        </w:r>
        <w:r w:rsidR="00751475" w:rsidRPr="00B4023C">
          <w:rPr>
            <w:rStyle w:val="Hyperlink"/>
            <w:rFonts w:ascii="Times New Roman" w:hAnsi="Times New Roman"/>
          </w:rPr>
          <w:t>blig</w:t>
        </w:r>
      </w:hyperlink>
    </w:p>
    <w:p w:rsidR="00B4023C" w:rsidRPr="00B4023C" w:rsidRDefault="00B4023C" w:rsidP="00B4023C">
      <w:pPr>
        <w:pStyle w:val="ListParagraph"/>
        <w:numPr>
          <w:ilvl w:val="0"/>
          <w:numId w:val="5"/>
        </w:numPr>
        <w:rPr>
          <w:rFonts w:ascii="Times New Roman" w:hAnsi="Times New Roman"/>
        </w:rPr>
      </w:pPr>
      <w:r>
        <w:rPr>
          <w:rFonts w:ascii="Times New Roman" w:hAnsi="Times New Roman"/>
        </w:rPr>
        <w:t xml:space="preserve">Yeni harç oranları: </w:t>
      </w:r>
      <w:hyperlink r:id="rId6" w:history="1">
        <w:r w:rsidRPr="00B4023C">
          <w:rPr>
            <w:rStyle w:val="Hyperlink"/>
            <w:rFonts w:ascii="Times New Roman" w:hAnsi="Times New Roman"/>
          </w:rPr>
          <w:t>http://www.gib.gov.tr/index.php?id=1079&amp;uid=eVjOMxveypTabPgT&amp;type=teblig</w:t>
        </w:r>
      </w:hyperlink>
    </w:p>
    <w:p w:rsidR="00751475" w:rsidRPr="00B4023C" w:rsidRDefault="00751475" w:rsidP="00751475">
      <w:pPr>
        <w:pStyle w:val="ListParagraph"/>
        <w:rPr>
          <w:rFonts w:ascii="Times New Roman" w:hAnsi="Times New Roman"/>
        </w:rPr>
      </w:pPr>
    </w:p>
    <w:p w:rsidR="00751475" w:rsidRPr="00B4023C" w:rsidRDefault="00751475" w:rsidP="00751475">
      <w:pPr>
        <w:jc w:val="both"/>
        <w:rPr>
          <w:rFonts w:ascii="Times New Roman" w:hAnsi="Times New Roman"/>
          <w:b/>
          <w:i/>
        </w:rPr>
      </w:pPr>
      <w:r w:rsidRPr="00B4023C">
        <w:rPr>
          <w:rFonts w:ascii="Times New Roman" w:hAnsi="Times New Roman"/>
          <w:b/>
          <w:i/>
        </w:rPr>
        <w:t>Veraset ve İntikal Vergisi:</w:t>
      </w:r>
    </w:p>
    <w:p w:rsidR="00751475" w:rsidRPr="00B4023C" w:rsidRDefault="00751475" w:rsidP="00751475">
      <w:pPr>
        <w:jc w:val="both"/>
        <w:rPr>
          <w:rFonts w:ascii="Times New Roman" w:hAnsi="Times New Roman"/>
          <w:i/>
        </w:rPr>
      </w:pPr>
    </w:p>
    <w:p w:rsidR="00751475" w:rsidRPr="00B4023C" w:rsidRDefault="00751475" w:rsidP="00B7266C">
      <w:pPr>
        <w:pStyle w:val="ListParagraph"/>
        <w:numPr>
          <w:ilvl w:val="0"/>
          <w:numId w:val="5"/>
        </w:numPr>
        <w:jc w:val="both"/>
        <w:rPr>
          <w:rFonts w:ascii="Times New Roman" w:hAnsi="Times New Roman"/>
        </w:rPr>
      </w:pPr>
      <w:r w:rsidRPr="00B4023C">
        <w:rPr>
          <w:rFonts w:ascii="Times New Roman" w:hAnsi="Times New Roman"/>
        </w:rPr>
        <w:t>201</w:t>
      </w:r>
      <w:r w:rsidR="00B4023C">
        <w:rPr>
          <w:rFonts w:ascii="Times New Roman" w:hAnsi="Times New Roman"/>
        </w:rPr>
        <w:t>4</w:t>
      </w:r>
      <w:r w:rsidRPr="00B4023C">
        <w:rPr>
          <w:rFonts w:ascii="Times New Roman" w:hAnsi="Times New Roman"/>
        </w:rPr>
        <w:t xml:space="preserve"> yılına ilişkin, Veraset ve İntikal Vergisi tarifesinin dilimleri aşağıdaki şekilde değiştirilmiştir:</w:t>
      </w:r>
    </w:p>
    <w:tbl>
      <w:tblPr>
        <w:tblStyle w:val="TableGrid"/>
        <w:tblW w:w="0" w:type="auto"/>
        <w:tblInd w:w="503" w:type="dxa"/>
        <w:tblLook w:val="04A0" w:firstRow="1" w:lastRow="0" w:firstColumn="1" w:lastColumn="0" w:noHBand="0" w:noVBand="1"/>
      </w:tblPr>
      <w:tblGrid>
        <w:gridCol w:w="4283"/>
        <w:gridCol w:w="2268"/>
        <w:gridCol w:w="1835"/>
      </w:tblGrid>
      <w:tr w:rsidR="00751475" w:rsidRPr="00B4023C" w:rsidTr="00B7266C">
        <w:tc>
          <w:tcPr>
            <w:tcW w:w="4283" w:type="dxa"/>
          </w:tcPr>
          <w:p w:rsidR="00751475" w:rsidRPr="00B4023C" w:rsidRDefault="00751475" w:rsidP="00B7266C">
            <w:pPr>
              <w:rPr>
                <w:rFonts w:ascii="Times New Roman" w:hAnsi="Times New Roman"/>
                <w:b/>
              </w:rPr>
            </w:pPr>
            <w:r w:rsidRPr="00B4023C">
              <w:rPr>
                <w:rFonts w:ascii="Times New Roman" w:hAnsi="Times New Roman"/>
                <w:b/>
              </w:rPr>
              <w:t>Dilim</w:t>
            </w:r>
          </w:p>
        </w:tc>
        <w:tc>
          <w:tcPr>
            <w:tcW w:w="2268" w:type="dxa"/>
          </w:tcPr>
          <w:p w:rsidR="00751475" w:rsidRPr="00B4023C" w:rsidRDefault="00751475" w:rsidP="00D6554D">
            <w:pPr>
              <w:jc w:val="center"/>
              <w:rPr>
                <w:rFonts w:ascii="Times New Roman" w:hAnsi="Times New Roman"/>
                <w:b/>
              </w:rPr>
            </w:pPr>
            <w:r w:rsidRPr="00B4023C">
              <w:rPr>
                <w:rFonts w:ascii="Times New Roman" w:hAnsi="Times New Roman"/>
                <w:b/>
              </w:rPr>
              <w:t>Veraset yoluyla intikallerde (%)</w:t>
            </w:r>
          </w:p>
        </w:tc>
        <w:tc>
          <w:tcPr>
            <w:tcW w:w="1835" w:type="dxa"/>
          </w:tcPr>
          <w:p w:rsidR="00751475" w:rsidRPr="00B4023C" w:rsidRDefault="00751475" w:rsidP="00D6554D">
            <w:pPr>
              <w:jc w:val="center"/>
              <w:rPr>
                <w:rFonts w:ascii="Times New Roman" w:hAnsi="Times New Roman"/>
                <w:b/>
              </w:rPr>
            </w:pPr>
            <w:r w:rsidRPr="00B4023C">
              <w:rPr>
                <w:rFonts w:ascii="Times New Roman" w:hAnsi="Times New Roman"/>
                <w:b/>
              </w:rPr>
              <w:t>Sair iva</w:t>
            </w:r>
            <w:r w:rsidR="00B7266C" w:rsidRPr="00B4023C">
              <w:rPr>
                <w:rFonts w:ascii="Times New Roman" w:hAnsi="Times New Roman"/>
                <w:b/>
              </w:rPr>
              <w:t>z</w:t>
            </w:r>
            <w:r w:rsidRPr="00B4023C">
              <w:rPr>
                <w:rFonts w:ascii="Times New Roman" w:hAnsi="Times New Roman"/>
                <w:b/>
              </w:rPr>
              <w:t>sız</w:t>
            </w:r>
            <w:r w:rsidR="00B7266C" w:rsidRPr="00B4023C">
              <w:rPr>
                <w:rFonts w:ascii="Times New Roman" w:hAnsi="Times New Roman"/>
                <w:b/>
              </w:rPr>
              <w:t xml:space="preserve"> intikallerde (%)</w:t>
            </w:r>
          </w:p>
        </w:tc>
      </w:tr>
      <w:tr w:rsidR="00751475" w:rsidRPr="00B4023C" w:rsidTr="00B7266C">
        <w:tc>
          <w:tcPr>
            <w:tcW w:w="4283" w:type="dxa"/>
          </w:tcPr>
          <w:p w:rsidR="00751475" w:rsidRPr="00B4023C" w:rsidRDefault="00751475" w:rsidP="00B7266C">
            <w:pPr>
              <w:rPr>
                <w:rFonts w:ascii="Times New Roman" w:hAnsi="Times New Roman"/>
              </w:rPr>
            </w:pPr>
            <w:r w:rsidRPr="00B4023C">
              <w:rPr>
                <w:rFonts w:ascii="Times New Roman" w:hAnsi="Times New Roman"/>
              </w:rPr>
              <w:t>İlk 190.000 TL için</w:t>
            </w:r>
          </w:p>
        </w:tc>
        <w:tc>
          <w:tcPr>
            <w:tcW w:w="2268" w:type="dxa"/>
          </w:tcPr>
          <w:p w:rsidR="00751475" w:rsidRPr="00B4023C" w:rsidRDefault="00B7266C" w:rsidP="00B7266C">
            <w:pPr>
              <w:jc w:val="center"/>
              <w:rPr>
                <w:rFonts w:ascii="Times New Roman" w:hAnsi="Times New Roman"/>
              </w:rPr>
            </w:pPr>
            <w:r w:rsidRPr="00B4023C">
              <w:rPr>
                <w:rFonts w:ascii="Times New Roman" w:hAnsi="Times New Roman"/>
              </w:rPr>
              <w:t>1</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10</w:t>
            </w:r>
          </w:p>
        </w:tc>
      </w:tr>
      <w:tr w:rsidR="00751475" w:rsidRPr="00B4023C" w:rsidTr="00B7266C">
        <w:tc>
          <w:tcPr>
            <w:tcW w:w="4283" w:type="dxa"/>
          </w:tcPr>
          <w:p w:rsidR="00751475" w:rsidRPr="00B4023C" w:rsidRDefault="00751475" w:rsidP="00B7266C">
            <w:pPr>
              <w:rPr>
                <w:rFonts w:ascii="Times New Roman" w:hAnsi="Times New Roman"/>
              </w:rPr>
            </w:pPr>
            <w:r w:rsidRPr="00B4023C">
              <w:rPr>
                <w:rFonts w:ascii="Times New Roman" w:hAnsi="Times New Roman"/>
              </w:rPr>
              <w:t>Sonra gelen 440.000 TL için</w:t>
            </w:r>
          </w:p>
        </w:tc>
        <w:tc>
          <w:tcPr>
            <w:tcW w:w="2268" w:type="dxa"/>
          </w:tcPr>
          <w:p w:rsidR="00751475" w:rsidRPr="00B4023C" w:rsidRDefault="00B7266C" w:rsidP="00B7266C">
            <w:pPr>
              <w:jc w:val="center"/>
              <w:rPr>
                <w:rFonts w:ascii="Times New Roman" w:hAnsi="Times New Roman"/>
              </w:rPr>
            </w:pPr>
            <w:r w:rsidRPr="00B4023C">
              <w:rPr>
                <w:rFonts w:ascii="Times New Roman" w:hAnsi="Times New Roman"/>
              </w:rPr>
              <w:t>3</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15</w:t>
            </w:r>
          </w:p>
        </w:tc>
      </w:tr>
      <w:tr w:rsidR="00751475" w:rsidRPr="00B4023C" w:rsidTr="00B7266C">
        <w:tc>
          <w:tcPr>
            <w:tcW w:w="4283" w:type="dxa"/>
          </w:tcPr>
          <w:p w:rsidR="00751475" w:rsidRPr="00B4023C" w:rsidRDefault="00751475" w:rsidP="00B7266C">
            <w:pPr>
              <w:rPr>
                <w:rFonts w:ascii="Times New Roman" w:hAnsi="Times New Roman"/>
              </w:rPr>
            </w:pPr>
            <w:r w:rsidRPr="00B4023C">
              <w:rPr>
                <w:rFonts w:ascii="Times New Roman" w:hAnsi="Times New Roman"/>
              </w:rPr>
              <w:t>Sonra gelen 970.000 TL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5</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20</w:t>
            </w:r>
          </w:p>
        </w:tc>
      </w:tr>
      <w:tr w:rsidR="00751475" w:rsidRPr="00B4023C" w:rsidTr="00B7266C">
        <w:tc>
          <w:tcPr>
            <w:tcW w:w="4283" w:type="dxa"/>
          </w:tcPr>
          <w:p w:rsidR="00751475" w:rsidRPr="00B4023C" w:rsidRDefault="00751475" w:rsidP="00B7266C">
            <w:pPr>
              <w:rPr>
                <w:rFonts w:ascii="Times New Roman" w:hAnsi="Times New Roman"/>
              </w:rPr>
            </w:pPr>
            <w:r w:rsidRPr="00B4023C">
              <w:rPr>
                <w:rFonts w:ascii="Times New Roman" w:hAnsi="Times New Roman"/>
              </w:rPr>
              <w:t>Sonra gelen 1.800.000 TL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7</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25</w:t>
            </w:r>
          </w:p>
        </w:tc>
      </w:tr>
      <w:tr w:rsidR="00751475" w:rsidRPr="00B4023C" w:rsidTr="00B7266C">
        <w:tc>
          <w:tcPr>
            <w:tcW w:w="4283" w:type="dxa"/>
          </w:tcPr>
          <w:p w:rsidR="00751475" w:rsidRPr="00B4023C" w:rsidRDefault="00751475" w:rsidP="00B7266C">
            <w:pPr>
              <w:rPr>
                <w:rFonts w:ascii="Times New Roman" w:hAnsi="Times New Roman"/>
              </w:rPr>
            </w:pPr>
            <w:r w:rsidRPr="00B4023C">
              <w:rPr>
                <w:rFonts w:ascii="Times New Roman" w:hAnsi="Times New Roman"/>
              </w:rPr>
              <w:t>Sonra gelen 3.400.000 TL’yi aşan kısmı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10</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30</w:t>
            </w:r>
          </w:p>
        </w:tc>
      </w:tr>
    </w:tbl>
    <w:p w:rsidR="00851FEA" w:rsidRDefault="00B7266C" w:rsidP="00851FEA">
      <w:pPr>
        <w:pStyle w:val="ListParagraph"/>
        <w:numPr>
          <w:ilvl w:val="0"/>
          <w:numId w:val="5"/>
        </w:numPr>
        <w:jc w:val="both"/>
        <w:rPr>
          <w:rFonts w:ascii="Times New Roman" w:hAnsi="Times New Roman"/>
        </w:rPr>
      </w:pPr>
      <w:r w:rsidRPr="00B4023C">
        <w:rPr>
          <w:rFonts w:ascii="Times New Roman" w:hAnsi="Times New Roman"/>
        </w:rPr>
        <w:t>İstisna tutarları;</w:t>
      </w:r>
    </w:p>
    <w:p w:rsidR="00B7266C" w:rsidRPr="00851FEA" w:rsidRDefault="00B7266C" w:rsidP="00851FEA">
      <w:pPr>
        <w:pStyle w:val="ListParagraph"/>
        <w:numPr>
          <w:ilvl w:val="1"/>
          <w:numId w:val="5"/>
        </w:numPr>
        <w:jc w:val="both"/>
        <w:rPr>
          <w:rFonts w:ascii="Times New Roman" w:hAnsi="Times New Roman"/>
        </w:rPr>
      </w:pPr>
      <w:r w:rsidRPr="00851FEA">
        <w:rPr>
          <w:rFonts w:ascii="Times New Roman" w:hAnsi="Times New Roman"/>
        </w:rPr>
        <w:t>Eş ve çocuktan her bir</w:t>
      </w:r>
      <w:r w:rsidR="00B4023C" w:rsidRPr="00851FEA">
        <w:rPr>
          <w:rFonts w:ascii="Times New Roman" w:hAnsi="Times New Roman"/>
        </w:rPr>
        <w:t>ine düşen mirasın 146.306 TL'si</w:t>
      </w:r>
      <w:r w:rsidRPr="00851FEA">
        <w:rPr>
          <w:rFonts w:ascii="Times New Roman" w:hAnsi="Times New Roman"/>
        </w:rPr>
        <w:t>,</w:t>
      </w:r>
      <w:r w:rsidR="00B4023C" w:rsidRPr="00851FEA">
        <w:rPr>
          <w:rFonts w:ascii="Times New Roman" w:hAnsi="Times New Roman"/>
        </w:rPr>
        <w:t xml:space="preserve"> </w:t>
      </w:r>
      <w:r w:rsidRPr="00851FEA">
        <w:rPr>
          <w:rFonts w:ascii="Times New Roman" w:hAnsi="Times New Roman"/>
        </w:rPr>
        <w:t>çocuk bulunmaması halinde eşe isabet eden mirasın 292.791 TL'si,</w:t>
      </w:r>
    </w:p>
    <w:p w:rsidR="00B7266C" w:rsidRDefault="00B7266C" w:rsidP="00851FEA">
      <w:pPr>
        <w:pStyle w:val="ListParagraph"/>
        <w:numPr>
          <w:ilvl w:val="1"/>
          <w:numId w:val="5"/>
        </w:numPr>
        <w:jc w:val="both"/>
        <w:rPr>
          <w:rFonts w:ascii="Times New Roman" w:hAnsi="Times New Roman"/>
        </w:rPr>
      </w:pPr>
      <w:r w:rsidRPr="00B4023C">
        <w:rPr>
          <w:rFonts w:ascii="Times New Roman" w:hAnsi="Times New Roman"/>
        </w:rPr>
        <w:t>İvazsız intikallerde 3.371 TL’dir.</w:t>
      </w:r>
    </w:p>
    <w:p w:rsidR="00851FEA" w:rsidRPr="00B4023C" w:rsidRDefault="00851FEA" w:rsidP="00851FEA">
      <w:pPr>
        <w:pStyle w:val="ListParagraph"/>
        <w:numPr>
          <w:ilvl w:val="0"/>
          <w:numId w:val="5"/>
        </w:numPr>
        <w:jc w:val="both"/>
        <w:rPr>
          <w:rFonts w:ascii="Times New Roman" w:hAnsi="Times New Roman"/>
        </w:rPr>
      </w:pPr>
      <w:r>
        <w:rPr>
          <w:rFonts w:ascii="Times New Roman" w:hAnsi="Times New Roman"/>
        </w:rPr>
        <w:t>M</w:t>
      </w:r>
      <w:r w:rsidRPr="00851FEA">
        <w:rPr>
          <w:rFonts w:ascii="Times New Roman" w:hAnsi="Times New Roman"/>
        </w:rPr>
        <w:t xml:space="preserve">uris veya tasarrufu yapan şahsın Türkiye'de hiç ikamet etmediği veya son </w:t>
      </w:r>
      <w:proofErr w:type="gramStart"/>
      <w:r w:rsidRPr="00851FEA">
        <w:rPr>
          <w:rFonts w:ascii="Times New Roman" w:hAnsi="Times New Roman"/>
        </w:rPr>
        <w:t>ikametg</w:t>
      </w:r>
      <w:r>
        <w:rPr>
          <w:rFonts w:ascii="Times New Roman" w:hAnsi="Times New Roman"/>
        </w:rPr>
        <w:t>a</w:t>
      </w:r>
      <w:r w:rsidRPr="00851FEA">
        <w:rPr>
          <w:rFonts w:ascii="Times New Roman" w:hAnsi="Times New Roman"/>
        </w:rPr>
        <w:t>hı</w:t>
      </w:r>
      <w:proofErr w:type="gramEnd"/>
      <w:r w:rsidRPr="00851FEA">
        <w:rPr>
          <w:rFonts w:ascii="Times New Roman" w:hAnsi="Times New Roman"/>
        </w:rPr>
        <w:t xml:space="preserve"> tespit olunamadığı takdirde veraset ve intikal vergisi beyannamelerinin, veraset yoluyla veya sair surette ivazsız tarzda intikal eden malın bulunduğu veya mükelleflerin i</w:t>
      </w:r>
      <w:r>
        <w:rPr>
          <w:rFonts w:ascii="Times New Roman" w:hAnsi="Times New Roman"/>
        </w:rPr>
        <w:t>kametga</w:t>
      </w:r>
      <w:r w:rsidRPr="00851FEA">
        <w:rPr>
          <w:rFonts w:ascii="Times New Roman" w:hAnsi="Times New Roman"/>
        </w:rPr>
        <w:t>hlarının bağlı olduğu yer vergi dairesine verilmesi uygun görülmüştür.</w:t>
      </w:r>
    </w:p>
    <w:p w:rsidR="00851FEA" w:rsidRDefault="00851FEA" w:rsidP="00851FEA">
      <w:pPr>
        <w:jc w:val="both"/>
        <w:rPr>
          <w:rFonts w:ascii="Times New Roman" w:hAnsi="Times New Roman"/>
        </w:rPr>
      </w:pPr>
    </w:p>
    <w:p w:rsidR="006214DD" w:rsidRPr="00851FEA" w:rsidRDefault="006214DD" w:rsidP="006214DD">
      <w:pPr>
        <w:rPr>
          <w:rFonts w:ascii="Times New Roman" w:hAnsi="Times New Roman"/>
          <w:b/>
          <w:i/>
        </w:rPr>
      </w:pPr>
      <w:r w:rsidRPr="00851FEA">
        <w:rPr>
          <w:rFonts w:ascii="Times New Roman" w:hAnsi="Times New Roman"/>
          <w:b/>
          <w:i/>
        </w:rPr>
        <w:t>Motorlu Taşıtlar Vergisi:</w:t>
      </w:r>
    </w:p>
    <w:p w:rsidR="006214DD" w:rsidRPr="00B4023C" w:rsidRDefault="006214DD" w:rsidP="006214DD">
      <w:pPr>
        <w:rPr>
          <w:rFonts w:ascii="Times New Roman" w:hAnsi="Times New Roman"/>
          <w:i/>
        </w:rPr>
      </w:pPr>
    </w:p>
    <w:p w:rsidR="006214DD" w:rsidRPr="00B4023C" w:rsidRDefault="006214DD" w:rsidP="006214DD">
      <w:pPr>
        <w:pStyle w:val="ListParagraph"/>
        <w:numPr>
          <w:ilvl w:val="0"/>
          <w:numId w:val="5"/>
        </w:numPr>
        <w:rPr>
          <w:rFonts w:ascii="Times New Roman" w:hAnsi="Times New Roman"/>
        </w:rPr>
      </w:pPr>
      <w:r w:rsidRPr="00B4023C">
        <w:rPr>
          <w:rFonts w:ascii="Times New Roman" w:hAnsi="Times New Roman"/>
        </w:rPr>
        <w:t>Motorlu Taşıtlar Vergisi tarifesi yeniden değerleme oranı ile artırılmıştır.</w:t>
      </w:r>
    </w:p>
    <w:p w:rsidR="006214DD" w:rsidRPr="00B4023C" w:rsidRDefault="006214DD" w:rsidP="006214DD">
      <w:pPr>
        <w:pStyle w:val="ListParagraph"/>
        <w:numPr>
          <w:ilvl w:val="0"/>
          <w:numId w:val="5"/>
        </w:numPr>
        <w:rPr>
          <w:rFonts w:ascii="Times New Roman" w:hAnsi="Times New Roman"/>
        </w:rPr>
      </w:pPr>
      <w:r w:rsidRPr="00B4023C">
        <w:rPr>
          <w:rFonts w:ascii="Times New Roman" w:hAnsi="Times New Roman"/>
        </w:rPr>
        <w:t>Yeni oranlara aşağıdaki linkten ulaşabilirsiniz:</w:t>
      </w:r>
    </w:p>
    <w:p w:rsidR="006214DD" w:rsidRPr="00B4023C" w:rsidRDefault="0036779A" w:rsidP="006214DD">
      <w:pPr>
        <w:pStyle w:val="ListParagraph"/>
        <w:numPr>
          <w:ilvl w:val="0"/>
          <w:numId w:val="5"/>
        </w:numPr>
        <w:rPr>
          <w:rFonts w:ascii="Times New Roman" w:hAnsi="Times New Roman"/>
        </w:rPr>
      </w:pPr>
      <w:hyperlink r:id="rId7" w:history="1">
        <w:r w:rsidR="006214DD" w:rsidRPr="00B4023C">
          <w:rPr>
            <w:rStyle w:val="Hyperlink"/>
            <w:rFonts w:ascii="Times New Roman" w:hAnsi="Times New Roman"/>
          </w:rPr>
          <w:t>http://www.gib.gov.tr/index.php?id=1079&amp;uid=sTV9wRk0qGRkenc7&amp;type=teblig</w:t>
        </w:r>
      </w:hyperlink>
    </w:p>
    <w:p w:rsidR="006214DD" w:rsidRPr="00B4023C" w:rsidRDefault="006214DD" w:rsidP="006214DD">
      <w:pPr>
        <w:jc w:val="both"/>
        <w:rPr>
          <w:rFonts w:ascii="Times New Roman" w:hAnsi="Times New Roman"/>
        </w:rPr>
      </w:pPr>
    </w:p>
    <w:p w:rsidR="00740B70" w:rsidRPr="00B4023C" w:rsidRDefault="00740B70" w:rsidP="00ED2884">
      <w:pPr>
        <w:ind w:left="360"/>
        <w:rPr>
          <w:rFonts w:ascii="Times New Roman" w:hAnsi="Times New Roman"/>
        </w:rPr>
      </w:pPr>
    </w:p>
    <w:p w:rsidR="00740B70" w:rsidRPr="00B4023C" w:rsidRDefault="00740B70" w:rsidP="00740B70">
      <w:pPr>
        <w:jc w:val="both"/>
        <w:rPr>
          <w:rFonts w:ascii="Times New Roman" w:hAnsi="Times New Roman"/>
        </w:rPr>
      </w:pPr>
      <w:r w:rsidRPr="00B4023C">
        <w:rPr>
          <w:rFonts w:ascii="Times New Roman" w:hAnsi="Times New Roman"/>
        </w:rPr>
        <w:lastRenderedPageBreak/>
        <w:t>Saygılarımızla,</w:t>
      </w:r>
      <w:bookmarkEnd w:id="0"/>
    </w:p>
    <w:sectPr w:rsidR="00740B70" w:rsidRPr="00B4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878"/>
    <w:multiLevelType w:val="hybridMultilevel"/>
    <w:tmpl w:val="C6BCAC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206084B"/>
    <w:multiLevelType w:val="hybridMultilevel"/>
    <w:tmpl w:val="C3148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A637FB"/>
    <w:multiLevelType w:val="hybridMultilevel"/>
    <w:tmpl w:val="A768AD74"/>
    <w:lvl w:ilvl="0" w:tplc="4D787060">
      <w:start w:val="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C688A"/>
    <w:multiLevelType w:val="hybridMultilevel"/>
    <w:tmpl w:val="685C14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68011C"/>
    <w:multiLevelType w:val="hybridMultilevel"/>
    <w:tmpl w:val="0EF4E422"/>
    <w:lvl w:ilvl="0" w:tplc="B0B46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D76ACE"/>
    <w:multiLevelType w:val="hybridMultilevel"/>
    <w:tmpl w:val="69820A46"/>
    <w:lvl w:ilvl="0" w:tplc="9A56753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D76332"/>
    <w:multiLevelType w:val="hybridMultilevel"/>
    <w:tmpl w:val="684A7C54"/>
    <w:lvl w:ilvl="0" w:tplc="9D1E0906">
      <w:start w:val="1"/>
      <w:numFmt w:val="bullet"/>
      <w:lvlText w:val="-"/>
      <w:lvlJc w:val="left"/>
      <w:pPr>
        <w:ind w:left="720" w:hanging="360"/>
      </w:pPr>
      <w:rPr>
        <w:rFonts w:ascii="Calibri" w:eastAsia="ヒラギノ明朝 Pro W3"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0"/>
    <w:rsid w:val="00012CE3"/>
    <w:rsid w:val="00022DDB"/>
    <w:rsid w:val="00030049"/>
    <w:rsid w:val="000420E7"/>
    <w:rsid w:val="00045DAE"/>
    <w:rsid w:val="00074450"/>
    <w:rsid w:val="00094C24"/>
    <w:rsid w:val="000D2813"/>
    <w:rsid w:val="001A0B00"/>
    <w:rsid w:val="002114DC"/>
    <w:rsid w:val="002D4D0A"/>
    <w:rsid w:val="003534E7"/>
    <w:rsid w:val="0036779A"/>
    <w:rsid w:val="003E256B"/>
    <w:rsid w:val="003F25E1"/>
    <w:rsid w:val="0040121D"/>
    <w:rsid w:val="004061AB"/>
    <w:rsid w:val="00484ACA"/>
    <w:rsid w:val="00497A41"/>
    <w:rsid w:val="004A4EAB"/>
    <w:rsid w:val="004C1075"/>
    <w:rsid w:val="00552340"/>
    <w:rsid w:val="005D4274"/>
    <w:rsid w:val="006214DD"/>
    <w:rsid w:val="00626FAD"/>
    <w:rsid w:val="00627AD6"/>
    <w:rsid w:val="00637EDC"/>
    <w:rsid w:val="00683A83"/>
    <w:rsid w:val="006878FD"/>
    <w:rsid w:val="00703DB6"/>
    <w:rsid w:val="00740B70"/>
    <w:rsid w:val="00751475"/>
    <w:rsid w:val="007722B9"/>
    <w:rsid w:val="007D1390"/>
    <w:rsid w:val="007D4441"/>
    <w:rsid w:val="008127C8"/>
    <w:rsid w:val="008516B7"/>
    <w:rsid w:val="00851FEA"/>
    <w:rsid w:val="00883412"/>
    <w:rsid w:val="008D798C"/>
    <w:rsid w:val="00992398"/>
    <w:rsid w:val="009A3C76"/>
    <w:rsid w:val="009B0D00"/>
    <w:rsid w:val="009B430F"/>
    <w:rsid w:val="009F120E"/>
    <w:rsid w:val="009F147B"/>
    <w:rsid w:val="009F55DF"/>
    <w:rsid w:val="00A153FF"/>
    <w:rsid w:val="00A44ED3"/>
    <w:rsid w:val="00A52739"/>
    <w:rsid w:val="00A827FA"/>
    <w:rsid w:val="00B337FB"/>
    <w:rsid w:val="00B4023C"/>
    <w:rsid w:val="00B7266C"/>
    <w:rsid w:val="00B74F29"/>
    <w:rsid w:val="00BF5EB3"/>
    <w:rsid w:val="00C23815"/>
    <w:rsid w:val="00C527FB"/>
    <w:rsid w:val="00CB7290"/>
    <w:rsid w:val="00CB7CE0"/>
    <w:rsid w:val="00D6554D"/>
    <w:rsid w:val="00DD2783"/>
    <w:rsid w:val="00DE18BA"/>
    <w:rsid w:val="00DF303D"/>
    <w:rsid w:val="00DF7186"/>
    <w:rsid w:val="00E154DA"/>
    <w:rsid w:val="00E224CB"/>
    <w:rsid w:val="00E83923"/>
    <w:rsid w:val="00E92627"/>
    <w:rsid w:val="00ED2884"/>
    <w:rsid w:val="00ED4472"/>
    <w:rsid w:val="00ED77CB"/>
    <w:rsid w:val="00F52A10"/>
    <w:rsid w:val="00F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F53C-4C3C-4259-9BE0-B35E58B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A30"/>
  </w:style>
  <w:style w:type="paragraph" w:customStyle="1" w:styleId="3-NormalYaz">
    <w:name w:val="3-Normal Yazı"/>
    <w:rsid w:val="002114DC"/>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2114DC"/>
    <w:rPr>
      <w:color w:val="0000FF"/>
      <w:u w:val="single"/>
    </w:rPr>
  </w:style>
  <w:style w:type="paragraph" w:customStyle="1" w:styleId="2-OrtaBaslk">
    <w:name w:val="2-Orta Baslık"/>
    <w:rsid w:val="00074450"/>
    <w:pPr>
      <w:spacing w:after="0" w:line="240" w:lineRule="auto"/>
      <w:jc w:val="center"/>
    </w:pPr>
    <w:rPr>
      <w:rFonts w:ascii="Times New Roman" w:eastAsia="ヒラギノ明朝 Pro W3" w:hAnsi="Times" w:cs="Times New Roman"/>
      <w:b/>
      <w:sz w:val="19"/>
      <w:szCs w:val="20"/>
    </w:rPr>
  </w:style>
  <w:style w:type="paragraph" w:styleId="ListParagraph">
    <w:name w:val="List Paragraph"/>
    <w:basedOn w:val="Normal"/>
    <w:uiPriority w:val="34"/>
    <w:qFormat/>
    <w:rsid w:val="00074450"/>
    <w:pPr>
      <w:ind w:left="720"/>
      <w:contextualSpacing/>
    </w:pPr>
  </w:style>
  <w:style w:type="paragraph" w:styleId="NormalWeb">
    <w:name w:val="Normal (Web)"/>
    <w:basedOn w:val="Normal"/>
    <w:uiPriority w:val="99"/>
    <w:unhideWhenUsed/>
    <w:rsid w:val="00F52A10"/>
    <w:pPr>
      <w:spacing w:before="195" w:line="225" w:lineRule="atLeast"/>
    </w:pPr>
    <w:rPr>
      <w:rFonts w:ascii="Arial" w:eastAsia="Times New Roman" w:hAnsi="Arial" w:cs="Arial"/>
      <w:sz w:val="20"/>
      <w:szCs w:val="20"/>
      <w:lang w:eastAsia="tr-TR"/>
    </w:rPr>
  </w:style>
  <w:style w:type="character" w:styleId="FollowedHyperlink">
    <w:name w:val="FollowedHyperlink"/>
    <w:basedOn w:val="DefaultParagraphFont"/>
    <w:uiPriority w:val="99"/>
    <w:semiHidden/>
    <w:unhideWhenUsed/>
    <w:rsid w:val="00DD2783"/>
    <w:rPr>
      <w:color w:val="800080" w:themeColor="followedHyperlink"/>
      <w:u w:val="single"/>
    </w:rPr>
  </w:style>
  <w:style w:type="table" w:styleId="TableGrid">
    <w:name w:val="Table Grid"/>
    <w:basedOn w:val="TableNormal"/>
    <w:uiPriority w:val="59"/>
    <w:rsid w:val="00DD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45DAE"/>
    <w:rPr>
      <w:b/>
      <w:bCs/>
    </w:rPr>
  </w:style>
  <w:style w:type="table" w:styleId="PlainTable2">
    <w:name w:val="Plain Table 2"/>
    <w:basedOn w:val="TableNormal"/>
    <w:uiPriority w:val="42"/>
    <w:rsid w:val="00045D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8094">
      <w:bodyDiv w:val="1"/>
      <w:marLeft w:val="0"/>
      <w:marRight w:val="0"/>
      <w:marTop w:val="0"/>
      <w:marBottom w:val="0"/>
      <w:divBdr>
        <w:top w:val="none" w:sz="0" w:space="0" w:color="auto"/>
        <w:left w:val="none" w:sz="0" w:space="0" w:color="auto"/>
        <w:bottom w:val="none" w:sz="0" w:space="0" w:color="auto"/>
        <w:right w:val="none" w:sz="0" w:space="0" w:color="auto"/>
      </w:divBdr>
    </w:div>
    <w:div w:id="969282161">
      <w:bodyDiv w:val="1"/>
      <w:marLeft w:val="0"/>
      <w:marRight w:val="0"/>
      <w:marTop w:val="0"/>
      <w:marBottom w:val="0"/>
      <w:divBdr>
        <w:top w:val="none" w:sz="0" w:space="0" w:color="auto"/>
        <w:left w:val="none" w:sz="0" w:space="0" w:color="auto"/>
        <w:bottom w:val="none" w:sz="0" w:space="0" w:color="auto"/>
        <w:right w:val="none" w:sz="0" w:space="0" w:color="auto"/>
      </w:divBdr>
      <w:divsChild>
        <w:div w:id="639650953">
          <w:marLeft w:val="0"/>
          <w:marRight w:val="0"/>
          <w:marTop w:val="0"/>
          <w:marBottom w:val="0"/>
          <w:divBdr>
            <w:top w:val="none" w:sz="0" w:space="0" w:color="auto"/>
            <w:left w:val="none" w:sz="0" w:space="0" w:color="auto"/>
            <w:bottom w:val="none" w:sz="0" w:space="0" w:color="auto"/>
            <w:right w:val="none" w:sz="0" w:space="0" w:color="auto"/>
          </w:divBdr>
          <w:divsChild>
            <w:div w:id="136309612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2146652796">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6745">
      <w:bodyDiv w:val="1"/>
      <w:marLeft w:val="0"/>
      <w:marRight w:val="0"/>
      <w:marTop w:val="0"/>
      <w:marBottom w:val="0"/>
      <w:divBdr>
        <w:top w:val="none" w:sz="0" w:space="0" w:color="auto"/>
        <w:left w:val="none" w:sz="0" w:space="0" w:color="auto"/>
        <w:bottom w:val="none" w:sz="0" w:space="0" w:color="auto"/>
        <w:right w:val="none" w:sz="0" w:space="0" w:color="auto"/>
      </w:divBdr>
    </w:div>
    <w:div w:id="1346708443">
      <w:bodyDiv w:val="1"/>
      <w:marLeft w:val="0"/>
      <w:marRight w:val="0"/>
      <w:marTop w:val="0"/>
      <w:marBottom w:val="0"/>
      <w:divBdr>
        <w:top w:val="none" w:sz="0" w:space="0" w:color="auto"/>
        <w:left w:val="none" w:sz="0" w:space="0" w:color="auto"/>
        <w:bottom w:val="none" w:sz="0" w:space="0" w:color="auto"/>
        <w:right w:val="none" w:sz="0" w:space="0" w:color="auto"/>
      </w:divBdr>
      <w:divsChild>
        <w:div w:id="1330061826">
          <w:marLeft w:val="0"/>
          <w:marRight w:val="0"/>
          <w:marTop w:val="0"/>
          <w:marBottom w:val="0"/>
          <w:divBdr>
            <w:top w:val="none" w:sz="0" w:space="0" w:color="auto"/>
            <w:left w:val="none" w:sz="0" w:space="0" w:color="auto"/>
            <w:bottom w:val="none" w:sz="0" w:space="0" w:color="auto"/>
            <w:right w:val="none" w:sz="0" w:space="0" w:color="auto"/>
          </w:divBdr>
          <w:divsChild>
            <w:div w:id="14684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20">
      <w:bodyDiv w:val="1"/>
      <w:marLeft w:val="0"/>
      <w:marRight w:val="0"/>
      <w:marTop w:val="0"/>
      <w:marBottom w:val="0"/>
      <w:divBdr>
        <w:top w:val="none" w:sz="0" w:space="0" w:color="auto"/>
        <w:left w:val="none" w:sz="0" w:space="0" w:color="auto"/>
        <w:bottom w:val="none" w:sz="0" w:space="0" w:color="auto"/>
        <w:right w:val="none" w:sz="0" w:space="0" w:color="auto"/>
      </w:divBdr>
      <w:divsChild>
        <w:div w:id="449402281">
          <w:marLeft w:val="0"/>
          <w:marRight w:val="0"/>
          <w:marTop w:val="0"/>
          <w:marBottom w:val="0"/>
          <w:divBdr>
            <w:top w:val="none" w:sz="0" w:space="0" w:color="auto"/>
            <w:left w:val="none" w:sz="0" w:space="0" w:color="auto"/>
            <w:bottom w:val="none" w:sz="0" w:space="0" w:color="auto"/>
            <w:right w:val="none" w:sz="0" w:space="0" w:color="auto"/>
          </w:divBdr>
          <w:divsChild>
            <w:div w:id="2015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0139">
      <w:bodyDiv w:val="1"/>
      <w:marLeft w:val="0"/>
      <w:marRight w:val="0"/>
      <w:marTop w:val="0"/>
      <w:marBottom w:val="0"/>
      <w:divBdr>
        <w:top w:val="none" w:sz="0" w:space="0" w:color="auto"/>
        <w:left w:val="none" w:sz="0" w:space="0" w:color="auto"/>
        <w:bottom w:val="none" w:sz="0" w:space="0" w:color="auto"/>
        <w:right w:val="none" w:sz="0" w:space="0" w:color="auto"/>
      </w:divBdr>
      <w:divsChild>
        <w:div w:id="568999406">
          <w:marLeft w:val="0"/>
          <w:marRight w:val="0"/>
          <w:marTop w:val="0"/>
          <w:marBottom w:val="0"/>
          <w:divBdr>
            <w:top w:val="none" w:sz="0" w:space="0" w:color="auto"/>
            <w:left w:val="none" w:sz="0" w:space="0" w:color="auto"/>
            <w:bottom w:val="none" w:sz="0" w:space="0" w:color="auto"/>
            <w:right w:val="none" w:sz="0" w:space="0" w:color="auto"/>
          </w:divBdr>
          <w:divsChild>
            <w:div w:id="1263564302">
              <w:marLeft w:val="0"/>
              <w:marRight w:val="0"/>
              <w:marTop w:val="0"/>
              <w:marBottom w:val="0"/>
              <w:divBdr>
                <w:top w:val="none" w:sz="0" w:space="0" w:color="auto"/>
                <w:left w:val="none" w:sz="0" w:space="0" w:color="auto"/>
                <w:bottom w:val="none" w:sz="0" w:space="0" w:color="auto"/>
                <w:right w:val="none" w:sz="0" w:space="0" w:color="auto"/>
              </w:divBdr>
              <w:divsChild>
                <w:div w:id="324213180">
                  <w:marLeft w:val="0"/>
                  <w:marRight w:val="0"/>
                  <w:marTop w:val="0"/>
                  <w:marBottom w:val="0"/>
                  <w:divBdr>
                    <w:top w:val="none" w:sz="0" w:space="0" w:color="auto"/>
                    <w:left w:val="none" w:sz="0" w:space="0" w:color="auto"/>
                    <w:bottom w:val="none" w:sz="0" w:space="0" w:color="auto"/>
                    <w:right w:val="none" w:sz="0" w:space="0" w:color="auto"/>
                  </w:divBdr>
                  <w:divsChild>
                    <w:div w:id="1832482588">
                      <w:marLeft w:val="0"/>
                      <w:marRight w:val="0"/>
                      <w:marTop w:val="0"/>
                      <w:marBottom w:val="0"/>
                      <w:divBdr>
                        <w:top w:val="none" w:sz="0" w:space="0" w:color="auto"/>
                        <w:left w:val="none" w:sz="0" w:space="0" w:color="auto"/>
                        <w:bottom w:val="none" w:sz="0" w:space="0" w:color="auto"/>
                        <w:right w:val="none" w:sz="0" w:space="0" w:color="auto"/>
                      </w:divBdr>
                      <w:divsChild>
                        <w:div w:id="76288698">
                          <w:marLeft w:val="0"/>
                          <w:marRight w:val="0"/>
                          <w:marTop w:val="0"/>
                          <w:marBottom w:val="0"/>
                          <w:divBdr>
                            <w:top w:val="none" w:sz="0" w:space="0" w:color="auto"/>
                            <w:left w:val="none" w:sz="0" w:space="0" w:color="auto"/>
                            <w:bottom w:val="none" w:sz="0" w:space="0" w:color="auto"/>
                            <w:right w:val="none" w:sz="0" w:space="0" w:color="auto"/>
                          </w:divBdr>
                          <w:divsChild>
                            <w:div w:id="1730300871">
                              <w:marLeft w:val="0"/>
                              <w:marRight w:val="0"/>
                              <w:marTop w:val="0"/>
                              <w:marBottom w:val="0"/>
                              <w:divBdr>
                                <w:top w:val="none" w:sz="0" w:space="0" w:color="auto"/>
                                <w:left w:val="none" w:sz="0" w:space="0" w:color="auto"/>
                                <w:bottom w:val="none" w:sz="0" w:space="0" w:color="auto"/>
                                <w:right w:val="none" w:sz="0" w:space="0" w:color="auto"/>
                              </w:divBdr>
                            </w:div>
                            <w:div w:id="752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6917">
      <w:bodyDiv w:val="1"/>
      <w:marLeft w:val="0"/>
      <w:marRight w:val="0"/>
      <w:marTop w:val="0"/>
      <w:marBottom w:val="0"/>
      <w:divBdr>
        <w:top w:val="none" w:sz="0" w:space="0" w:color="auto"/>
        <w:left w:val="none" w:sz="0" w:space="0" w:color="auto"/>
        <w:bottom w:val="none" w:sz="0" w:space="0" w:color="auto"/>
        <w:right w:val="none" w:sz="0" w:space="0" w:color="auto"/>
      </w:divBdr>
      <w:divsChild>
        <w:div w:id="1541163320">
          <w:marLeft w:val="0"/>
          <w:marRight w:val="0"/>
          <w:marTop w:val="0"/>
          <w:marBottom w:val="0"/>
          <w:divBdr>
            <w:top w:val="none" w:sz="0" w:space="0" w:color="auto"/>
            <w:left w:val="none" w:sz="0" w:space="0" w:color="auto"/>
            <w:bottom w:val="none" w:sz="0" w:space="0" w:color="auto"/>
            <w:right w:val="none" w:sz="0" w:space="0" w:color="auto"/>
          </w:divBdr>
          <w:divsChild>
            <w:div w:id="96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b.gov.tr/index.php?id=1079&amp;uid=sTV9wRk0qGRkenc7&amp;type=tebl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b.gov.tr/index.php?id=1079&amp;uid=eVjOMxveypTabPgT&amp;type=teblig" TargetMode="External"/><Relationship Id="rId5" Type="http://schemas.openxmlformats.org/officeDocument/2006/relationships/hyperlink" Target="http://www.gib.gov.tr/index.php?id=1079&amp;uid=ej1OTrfxLUQt0MNx&amp;type=tebli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Ceyda Eratalar</cp:lastModifiedBy>
  <cp:revision>3</cp:revision>
  <dcterms:created xsi:type="dcterms:W3CDTF">2014-01-02T12:42:00Z</dcterms:created>
  <dcterms:modified xsi:type="dcterms:W3CDTF">2014-01-02T12:51:00Z</dcterms:modified>
</cp:coreProperties>
</file>